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341" w:rsidRPr="002B46FA" w:rsidRDefault="00114341">
      <w:pPr>
        <w:rPr>
          <w:b/>
          <w:sz w:val="32"/>
          <w:u w:val="single"/>
        </w:rPr>
      </w:pPr>
      <w:proofErr w:type="spellStart"/>
      <w:r w:rsidRPr="002B46FA">
        <w:rPr>
          <w:b/>
          <w:sz w:val="32"/>
          <w:u w:val="single"/>
        </w:rPr>
        <w:t>Frameworking</w:t>
      </w:r>
      <w:proofErr w:type="spellEnd"/>
      <w:r w:rsidRPr="002B46FA">
        <w:rPr>
          <w:b/>
          <w:sz w:val="32"/>
          <w:u w:val="single"/>
        </w:rPr>
        <w:t xml:space="preserve"> future innovation</w:t>
      </w:r>
    </w:p>
    <w:p w:rsidR="00114341" w:rsidRPr="00031BD1" w:rsidRDefault="00114341">
      <w:r w:rsidRPr="00031BD1">
        <w:t xml:space="preserve">The origins of future studies may be found in technological forecasting, and this was initially much about spotting and plotting trends; these could be linear, exponential, logarithmic, </w:t>
      </w:r>
      <w:proofErr w:type="gramStart"/>
      <w:r w:rsidRPr="00031BD1">
        <w:t>biological</w:t>
      </w:r>
      <w:proofErr w:type="gramEnd"/>
      <w:r w:rsidRPr="00031BD1">
        <w:t xml:space="preserve"> – for example. Trends, however, com</w:t>
      </w:r>
      <w:r w:rsidR="008442F1">
        <w:t>e in many other sectors as well:</w:t>
      </w:r>
      <w:r w:rsidRPr="00031BD1">
        <w:t xml:space="preserve"> life styles, values, geopolitical, industrial, economic, and so on. So many trends, and many more, if </w:t>
      </w:r>
      <w:proofErr w:type="spellStart"/>
      <w:r w:rsidRPr="00031BD1">
        <w:t>microtrends</w:t>
      </w:r>
      <w:proofErr w:type="spellEnd"/>
      <w:r w:rsidRPr="00031BD1">
        <w:t xml:space="preserve"> were to be included – on the other hand, megatrends would serve as to pinpoint their opposites, developments so important that they would affect huge swathes </w:t>
      </w:r>
      <w:r w:rsidR="008442F1">
        <w:t>of the future. And then there a</w:t>
      </w:r>
      <w:r w:rsidRPr="00031BD1">
        <w:t xml:space="preserve">re </w:t>
      </w:r>
      <w:proofErr w:type="spellStart"/>
      <w:r w:rsidRPr="00031BD1">
        <w:t>metatrends</w:t>
      </w:r>
      <w:proofErr w:type="spellEnd"/>
      <w:r w:rsidRPr="00031BD1">
        <w:t>, trends about trends as it were.</w:t>
      </w:r>
    </w:p>
    <w:p w:rsidR="00955F47" w:rsidRPr="00031BD1" w:rsidRDefault="008442F1">
      <w:r>
        <w:t xml:space="preserve">Innovation might be surprising, </w:t>
      </w:r>
      <w:r w:rsidR="00AA10F1">
        <w:t xml:space="preserve">affecting the future in unexpected ways; it may come with unintended consequences, but with intended too, in that case shaping, designing the future consciously. </w:t>
      </w:r>
      <w:r w:rsidR="00114341" w:rsidRPr="00031BD1">
        <w:t xml:space="preserve">Given the fact that innovation is an important force in </w:t>
      </w:r>
      <w:r w:rsidR="00AA10F1">
        <w:t>making</w:t>
      </w:r>
      <w:r w:rsidR="00114341" w:rsidRPr="00031BD1">
        <w:t xml:space="preserve"> the future, what might be the framework for innovations to come? Somewhat similar to those various categories of trends, we might discover or categorize forces profoundly influencing how innovations come into being.</w:t>
      </w:r>
    </w:p>
    <w:p w:rsidR="00114341" w:rsidRPr="00031BD1" w:rsidRDefault="00955F47">
      <w:pPr>
        <w:rPr>
          <w:b/>
        </w:rPr>
      </w:pPr>
      <w:proofErr w:type="spellStart"/>
      <w:r w:rsidRPr="00031BD1">
        <w:rPr>
          <w:b/>
        </w:rPr>
        <w:t>Metovation</w:t>
      </w:r>
      <w:proofErr w:type="spellEnd"/>
    </w:p>
    <w:p w:rsidR="00114341" w:rsidRPr="00031BD1" w:rsidRDefault="00114341" w:rsidP="00114341">
      <w:r w:rsidRPr="00031BD1">
        <w:t xml:space="preserve">Somewhat corresponding to </w:t>
      </w:r>
      <w:proofErr w:type="spellStart"/>
      <w:r w:rsidRPr="00031BD1">
        <w:t>metatrends</w:t>
      </w:r>
      <w:proofErr w:type="spellEnd"/>
      <w:r w:rsidRPr="00031BD1">
        <w:t xml:space="preserve">, we may propose the existence of something captured by another neologism: </w:t>
      </w:r>
      <w:proofErr w:type="spellStart"/>
      <w:r w:rsidRPr="00031BD1">
        <w:t>metovation</w:t>
      </w:r>
      <w:proofErr w:type="spellEnd"/>
      <w:r w:rsidRPr="00031BD1">
        <w:t xml:space="preserve">. </w:t>
      </w:r>
      <w:proofErr w:type="spellStart"/>
      <w:r w:rsidRPr="00031BD1">
        <w:t>Meto</w:t>
      </w:r>
      <w:proofErr w:type="spellEnd"/>
      <w:r w:rsidRPr="00031BD1">
        <w:t xml:space="preserve">- in </w:t>
      </w:r>
      <w:proofErr w:type="spellStart"/>
      <w:r w:rsidRPr="00031BD1">
        <w:t>metovation</w:t>
      </w:r>
      <w:proofErr w:type="spellEnd"/>
      <w:r w:rsidRPr="00031BD1">
        <w:t xml:space="preserve"> stems also from the prefix meta-, with, for easier </w:t>
      </w:r>
      <w:proofErr w:type="spellStart"/>
      <w:proofErr w:type="gramStart"/>
      <w:r w:rsidRPr="00031BD1">
        <w:t>pron</w:t>
      </w:r>
      <w:r w:rsidR="00955F47" w:rsidRPr="00031BD1">
        <w:t>o</w:t>
      </w:r>
      <w:r w:rsidRPr="00031BD1">
        <w:t>unciation</w:t>
      </w:r>
      <w:proofErr w:type="spellEnd"/>
      <w:r w:rsidRPr="00031BD1">
        <w:t>,</w:t>
      </w:r>
      <w:proofErr w:type="gramEnd"/>
      <w:r w:rsidRPr="00031BD1">
        <w:t xml:space="preserve"> o exchanged for a. Meta is Greek and stands for the next higher level of abstraction. Thus meta-art is art dealing with art – metaphysics would be that kind of physics that organizes the more concrete physics, only that the term ‘metaphysics’ has acquired a somewhat special meaning.</w:t>
      </w:r>
    </w:p>
    <w:p w:rsidR="00114341" w:rsidRPr="00031BD1" w:rsidRDefault="00114341" w:rsidP="00114341">
      <w:r w:rsidRPr="00031BD1">
        <w:t xml:space="preserve">Therefore </w:t>
      </w:r>
      <w:proofErr w:type="spellStart"/>
      <w:r w:rsidRPr="00031BD1">
        <w:t>metovation</w:t>
      </w:r>
      <w:proofErr w:type="spellEnd"/>
      <w:r w:rsidRPr="00031BD1">
        <w:t xml:space="preserve"> equates with novelties, with innovations in the very ways of how we produce ‘ordinary’ innovations, thus equating with new conditions for innovation. One obvious example is open innovation, something heralded prominently during the last decade or so. A Google search for meta-innovation results in the suggestion of ‘systemic </w:t>
      </w:r>
      <w:proofErr w:type="gramStart"/>
      <w:r w:rsidRPr="00031BD1">
        <w:t>innovation accelerating</w:t>
      </w:r>
      <w:proofErr w:type="gramEnd"/>
      <w:r w:rsidRPr="00031BD1">
        <w:t xml:space="preserve"> innovation’ – so a condition</w:t>
      </w:r>
      <w:r w:rsidR="00AA10F1">
        <w:t xml:space="preserve"> for innovation</w:t>
      </w:r>
      <w:r w:rsidRPr="00031BD1">
        <w:t xml:space="preserve"> again.</w:t>
      </w:r>
    </w:p>
    <w:p w:rsidR="00114341" w:rsidRPr="00031BD1" w:rsidRDefault="00114341" w:rsidP="00114341">
      <w:r w:rsidRPr="00031BD1">
        <w:t xml:space="preserve">Conditions for innovation: that would involve the very fundamental settings for business, industry, and entrepreneurship too. As an example, idealism and volunteering have always existed but the developments in open source and freeware must be regarded as contributing something fundamentally novel – when something is transformed from marginal to mainstream, it heralds a new dimension; quantity mutates into quality. What, then, may be the reasons for working for free, to generate resources for others to utilize and exploit? One human motivator may be conscience, compassion, and generosity, another a realization of that there is power in reciprocity and thus a plus-sum game – 'as I do, others will follow, which is to my </w:t>
      </w:r>
      <w:r w:rsidR="00675F1F">
        <w:t>benefit’</w:t>
      </w:r>
      <w:r w:rsidRPr="00031BD1">
        <w:t xml:space="preserve">. Yet another component may be reputation and track record, which </w:t>
      </w:r>
      <w:r w:rsidR="00675F1F">
        <w:t>might translate</w:t>
      </w:r>
      <w:r w:rsidRPr="00031BD1">
        <w:t xml:space="preserve"> into commissions and offers of employment. And there are other business twists, such as those who ‘sell’ freeware, that is, offer it for free but charge heavily (or lightly, with numerous takers) for what might be called a user’s guide.</w:t>
      </w:r>
    </w:p>
    <w:p w:rsidR="00114341" w:rsidRPr="00031BD1" w:rsidRDefault="00114341" w:rsidP="00114341">
      <w:r w:rsidRPr="00031BD1">
        <w:t xml:space="preserve">It is hard not to see the Internet as a </w:t>
      </w:r>
      <w:proofErr w:type="spellStart"/>
      <w:r w:rsidRPr="00031BD1">
        <w:t>metovation</w:t>
      </w:r>
      <w:proofErr w:type="spellEnd"/>
      <w:r w:rsidRPr="00031BD1">
        <w:t xml:space="preserve">. It may be claimed to be an innovation, an infrastructure, a marketplace, </w:t>
      </w:r>
      <w:proofErr w:type="gramStart"/>
      <w:r w:rsidRPr="00031BD1">
        <w:t>an ecology</w:t>
      </w:r>
      <w:proofErr w:type="gramEnd"/>
      <w:r w:rsidRPr="00031BD1">
        <w:t xml:space="preserve"> – as well. These alternate </w:t>
      </w:r>
      <w:r w:rsidR="00675F1F">
        <w:t>descriptions</w:t>
      </w:r>
      <w:r w:rsidRPr="00031BD1">
        <w:t xml:space="preserve"> capture different aspects of the Internet, and the very fact that several are needed makes it a </w:t>
      </w:r>
      <w:proofErr w:type="spellStart"/>
      <w:r w:rsidRPr="00031BD1">
        <w:t>metovation</w:t>
      </w:r>
      <w:proofErr w:type="spellEnd"/>
      <w:r w:rsidRPr="00031BD1">
        <w:t xml:space="preserve">. The Internet has, for example, spawned Second Life where virtual creations (like avatars) may be exchanged for Linden dollars™, a currency that may also be exchanged for real money, real dollars. Linden Labs, the company behind Second Life, has created its innovation on the basis of the </w:t>
      </w:r>
      <w:proofErr w:type="spellStart"/>
      <w:r w:rsidRPr="00031BD1">
        <w:t>metovation</w:t>
      </w:r>
      <w:proofErr w:type="spellEnd"/>
      <w:r w:rsidRPr="00031BD1">
        <w:t xml:space="preserve"> the Internet.</w:t>
      </w:r>
    </w:p>
    <w:p w:rsidR="00114341" w:rsidRPr="00031BD1" w:rsidRDefault="00114341" w:rsidP="00114341">
      <w:r w:rsidRPr="00031BD1">
        <w:t>How would an entrepreneur, an inventor, the managers of companies</w:t>
      </w:r>
      <w:r w:rsidR="00955F47" w:rsidRPr="00031BD1">
        <w:t>, or futurists</w:t>
      </w:r>
      <w:r w:rsidRPr="00031BD1">
        <w:t xml:space="preserve"> regard and treat </w:t>
      </w:r>
      <w:proofErr w:type="spellStart"/>
      <w:r w:rsidR="00955F47" w:rsidRPr="00031BD1">
        <w:t>metovations</w:t>
      </w:r>
      <w:proofErr w:type="spellEnd"/>
      <w:r w:rsidR="00955F47" w:rsidRPr="00031BD1">
        <w:t>? As the</w:t>
      </w:r>
      <w:r w:rsidRPr="00031BD1">
        <w:t xml:space="preserve"> examples</w:t>
      </w:r>
      <w:r w:rsidR="00955F47" w:rsidRPr="00031BD1">
        <w:t xml:space="preserve"> given</w:t>
      </w:r>
      <w:r w:rsidRPr="00031BD1">
        <w:t xml:space="preserve"> highlight, </w:t>
      </w:r>
      <w:proofErr w:type="spellStart"/>
      <w:r w:rsidRPr="00031BD1">
        <w:t>metovation</w:t>
      </w:r>
      <w:proofErr w:type="spellEnd"/>
      <w:r w:rsidRPr="00031BD1">
        <w:t xml:space="preserve"> is most often something too generic to benefit just a particular individual or corporation – </w:t>
      </w:r>
      <w:proofErr w:type="spellStart"/>
      <w:r w:rsidRPr="00031BD1">
        <w:t>metovation</w:t>
      </w:r>
      <w:proofErr w:type="spellEnd"/>
      <w:r w:rsidRPr="00031BD1">
        <w:t xml:space="preserve"> offers new opportunities, and here it is up to entrepreneurs and inventors to latch on. ‘Open innovation’ may open up new channels for otherwise homeless ideas, while its close relative innovation from pioneer users may cause upheavals in competition space. </w:t>
      </w:r>
      <w:proofErr w:type="gramStart"/>
      <w:r w:rsidRPr="00031BD1">
        <w:t>Likewise for freeware.</w:t>
      </w:r>
      <w:proofErr w:type="gramEnd"/>
      <w:r w:rsidRPr="00031BD1">
        <w:t xml:space="preserve"> But new vistas by way of new business models open up, as the example of revenue-generating users' guides for free software or Linden Labs currency demonstrate; the Internet and cyberspace positively brim with innovation. The Internet, Google, and many more also exemplify how sometimes the revenue model evolves or is invented only after the launch of an idea – and sometimes the expectation or hope that such a model will evolve turns out to be wishful thinking. Topsy-turvy business models of course do not constitute anything entirely novel; a shaver for free to sell razorblades is the classic case, Xerox’ nice, reasonable way of charging per copy another example of a profitable prescription. The future has only just begun, tomorrow never comes…</w:t>
      </w:r>
    </w:p>
    <w:p w:rsidR="007D034E" w:rsidRPr="00031BD1" w:rsidRDefault="007D034E" w:rsidP="00114341">
      <w:pPr>
        <w:rPr>
          <w:b/>
        </w:rPr>
      </w:pPr>
      <w:proofErr w:type="spellStart"/>
      <w:r w:rsidRPr="00031BD1">
        <w:rPr>
          <w:b/>
        </w:rPr>
        <w:t>Ynnovation</w:t>
      </w:r>
      <w:proofErr w:type="spellEnd"/>
    </w:p>
    <w:p w:rsidR="007D034E" w:rsidRPr="00031BD1" w:rsidRDefault="007D034E" w:rsidP="007D034E">
      <w:r w:rsidRPr="00031BD1">
        <w:t>Next, let us consider social and cultural evolution. Innovation is usually defined as something – an idea or a family of ideas – that has become successful. Most often, that success has been achieved in the marketplace, but success may take on other faces as well. So, indeed, what about culture, and to what extent would culture be amenable to deliberate tampering with, to design? Let us consider some examples.</w:t>
      </w:r>
    </w:p>
    <w:p w:rsidR="007D034E" w:rsidRPr="00031BD1" w:rsidRDefault="007D034E" w:rsidP="007D034E">
      <w:r w:rsidRPr="00031BD1">
        <w:t xml:space="preserve">If we were to visit a Catalan village or town festivity, celebrating something, Midsummer, for example, we might just be struck by a seemingly odd scenery: people dancing around a pile of ladies’ handbags, with some small kids topping the pile. The circle dance is </w:t>
      </w:r>
      <w:proofErr w:type="spellStart"/>
      <w:r w:rsidRPr="00031BD1">
        <w:rPr>
          <w:i/>
        </w:rPr>
        <w:t>sardana</w:t>
      </w:r>
      <w:proofErr w:type="spellEnd"/>
      <w:r w:rsidRPr="00031BD1">
        <w:t>, possibly (if somewhat doubtfully) with roots in ancient Greece. Variations of it have been danced in Catalonia for centuries, been danced and been forbidden, last by Franco</w:t>
      </w:r>
      <w:r w:rsidR="00675F1F">
        <w:t>’s regime</w:t>
      </w:r>
      <w:r w:rsidRPr="00031BD1">
        <w:t xml:space="preserve"> </w:t>
      </w:r>
      <w:r w:rsidR="00675F1F">
        <w:t>that</w:t>
      </w:r>
      <w:r w:rsidRPr="00031BD1">
        <w:t xml:space="preserve"> judged it to be a symbol of Catalan nationhood.</w:t>
      </w:r>
    </w:p>
    <w:p w:rsidR="007D034E" w:rsidRPr="00031BD1" w:rsidRDefault="007D034E" w:rsidP="007D034E">
      <w:r w:rsidRPr="00031BD1">
        <w:t xml:space="preserve">The modern </w:t>
      </w:r>
      <w:proofErr w:type="spellStart"/>
      <w:r w:rsidRPr="00031BD1">
        <w:rPr>
          <w:i/>
        </w:rPr>
        <w:t>sardana</w:t>
      </w:r>
      <w:proofErr w:type="spellEnd"/>
      <w:r w:rsidRPr="00031BD1">
        <w:t xml:space="preserve">, however, the ‘long’ one, is a more recent invention, music-wise by </w:t>
      </w:r>
      <w:proofErr w:type="spellStart"/>
      <w:r w:rsidRPr="00031BD1">
        <w:t>Josep</w:t>
      </w:r>
      <w:proofErr w:type="spellEnd"/>
      <w:r w:rsidRPr="00031BD1">
        <w:t xml:space="preserve"> ‘Pep’ Ventura, and step-wise by </w:t>
      </w:r>
      <w:proofErr w:type="spellStart"/>
      <w:r w:rsidRPr="00031BD1">
        <w:t>Miquel</w:t>
      </w:r>
      <w:proofErr w:type="spellEnd"/>
      <w:r w:rsidRPr="00031BD1">
        <w:t xml:space="preserve"> </w:t>
      </w:r>
      <w:proofErr w:type="spellStart"/>
      <w:r w:rsidRPr="00031BD1">
        <w:t>Pardàs</w:t>
      </w:r>
      <w:proofErr w:type="spellEnd"/>
      <w:r w:rsidRPr="00031BD1">
        <w:t xml:space="preserve">. Ventura equipped the orchestra, the </w:t>
      </w:r>
      <w:proofErr w:type="spellStart"/>
      <w:r w:rsidRPr="00031BD1">
        <w:rPr>
          <w:i/>
        </w:rPr>
        <w:t>cobla</w:t>
      </w:r>
      <w:proofErr w:type="spellEnd"/>
      <w:r w:rsidRPr="00031BD1">
        <w:t xml:space="preserve">, with eleven musicians – previously there had been a trio – and with a newly invented wind instrument, the </w:t>
      </w:r>
      <w:r w:rsidRPr="00031BD1">
        <w:rPr>
          <w:i/>
        </w:rPr>
        <w:t>tenor oboe (</w:t>
      </w:r>
      <w:proofErr w:type="spellStart"/>
      <w:r w:rsidRPr="00031BD1">
        <w:rPr>
          <w:i/>
        </w:rPr>
        <w:t>tenora</w:t>
      </w:r>
      <w:proofErr w:type="spellEnd"/>
      <w:r w:rsidRPr="00031BD1">
        <w:rPr>
          <w:i/>
        </w:rPr>
        <w:t>)</w:t>
      </w:r>
      <w:r w:rsidRPr="00031BD1">
        <w:t xml:space="preserve">, possibly inspired by him and in any case developed by </w:t>
      </w:r>
      <w:proofErr w:type="spellStart"/>
      <w:r w:rsidRPr="00031BD1">
        <w:t>Andreu</w:t>
      </w:r>
      <w:proofErr w:type="spellEnd"/>
      <w:r w:rsidRPr="00031BD1">
        <w:t xml:space="preserve"> </w:t>
      </w:r>
      <w:proofErr w:type="spellStart"/>
      <w:r w:rsidRPr="00031BD1">
        <w:t>Touron</w:t>
      </w:r>
      <w:proofErr w:type="spellEnd"/>
      <w:r w:rsidRPr="00031BD1">
        <w:t xml:space="preserve"> in northern Catalan Perpignan (thus in France); these developments occurred in the mid-19</w:t>
      </w:r>
      <w:r w:rsidRPr="00031BD1">
        <w:rPr>
          <w:vertAlign w:val="superscript"/>
        </w:rPr>
        <w:t>th</w:t>
      </w:r>
      <w:r w:rsidRPr="00031BD1">
        <w:t xml:space="preserve"> century. The </w:t>
      </w:r>
      <w:proofErr w:type="spellStart"/>
      <w:r w:rsidRPr="00031BD1">
        <w:rPr>
          <w:i/>
        </w:rPr>
        <w:t>sardana</w:t>
      </w:r>
      <w:proofErr w:type="spellEnd"/>
      <w:r w:rsidRPr="00031BD1">
        <w:t xml:space="preserve"> thus invented, thus designed, became one of multiple symbols of Catalan culture during the </w:t>
      </w:r>
      <w:proofErr w:type="spellStart"/>
      <w:r w:rsidRPr="00031BD1">
        <w:rPr>
          <w:i/>
        </w:rPr>
        <w:t>renaixença</w:t>
      </w:r>
      <w:proofErr w:type="spellEnd"/>
      <w:r w:rsidRPr="00031BD1">
        <w:t>, the renaissance or reawakening, which emerged at this time and grew increasingly vivid.</w:t>
      </w:r>
    </w:p>
    <w:p w:rsidR="007D034E" w:rsidRPr="00031BD1" w:rsidRDefault="007D034E" w:rsidP="007D034E">
      <w:r w:rsidRPr="00031BD1">
        <w:t xml:space="preserve">In the Estonian archipelago, a farm that previously had been a collective has remade itself (redesigned its ‘brand’) into a farm with Swedish roots – Estonia was part of Sweden for some 160 years, and </w:t>
      </w:r>
      <w:r w:rsidR="00675F1F">
        <w:t>from at least the 13</w:t>
      </w:r>
      <w:r w:rsidR="00675F1F" w:rsidRPr="00675F1F">
        <w:rPr>
          <w:vertAlign w:val="superscript"/>
        </w:rPr>
        <w:t>th</w:t>
      </w:r>
      <w:r w:rsidR="00675F1F">
        <w:t xml:space="preserve"> century</w:t>
      </w:r>
      <w:r w:rsidRPr="00031BD1">
        <w:t xml:space="preserve"> Swedish language farmers </w:t>
      </w:r>
      <w:r w:rsidR="00675F1F">
        <w:t xml:space="preserve">had </w:t>
      </w:r>
      <w:r w:rsidRPr="00031BD1">
        <w:t>settled on some of the Estonian islands. For the collective that no longer was, this identity or brand had at best shaky foundations but after the Russian and communist epoch, a positive identity instead of a threatening one was eagerly sought.</w:t>
      </w:r>
    </w:p>
    <w:p w:rsidR="007D034E" w:rsidRPr="00031BD1" w:rsidRDefault="007D034E" w:rsidP="007D034E">
      <w:r w:rsidRPr="00031BD1">
        <w:t xml:space="preserve">About the same time as the Catalan renaissance, there was a movement in Norway to become more ‘Norwegian’, politically independent of Sweden, linguistically substituting the written language, Bokmål, which in fact was </w:t>
      </w:r>
      <w:r w:rsidR="00675F1F">
        <w:t xml:space="preserve">(an adaptation of) </w:t>
      </w:r>
      <w:r w:rsidRPr="00031BD1">
        <w:t xml:space="preserve">written Danish, with something indigenous. One leading enthusiast was </w:t>
      </w:r>
      <w:proofErr w:type="spellStart"/>
      <w:r w:rsidRPr="00031BD1">
        <w:t>Ivar</w:t>
      </w:r>
      <w:proofErr w:type="spellEnd"/>
      <w:r w:rsidRPr="00031BD1">
        <w:t xml:space="preserve"> </w:t>
      </w:r>
      <w:proofErr w:type="spellStart"/>
      <w:r w:rsidRPr="00031BD1">
        <w:t>Aasen</w:t>
      </w:r>
      <w:proofErr w:type="spellEnd"/>
      <w:r w:rsidRPr="00031BD1">
        <w:t xml:space="preserve"> who toured the country to discover or compile the ‘true’ Norwegian, which he synthesized (designed?) into neo-Norwegian (from just so many dialects), Nynorsk in Norwegian. In reality, no outright substitution took place so Bokmål and Nynorsk now coexist. Several more ‘modern’ languages have a similar story of being ‘invented’ or ‘re</w:t>
      </w:r>
      <w:r w:rsidR="00675F1F">
        <w:t>-</w:t>
      </w:r>
      <w:r w:rsidRPr="00031BD1">
        <w:t>awakened’ or synthesized (or indeed designed), Hebrew and Turkish among them. Esperanto is of course an example, of several, of a fully synthetic – invented</w:t>
      </w:r>
      <w:r w:rsidR="00675F1F">
        <w:t>, designed</w:t>
      </w:r>
      <w:r w:rsidRPr="00031BD1">
        <w:t xml:space="preserve"> – language. (The bare-bones sketches here skip over intricacies and nuances of a vastly more complex reality</w:t>
      </w:r>
      <w:r w:rsidR="00842806" w:rsidRPr="00031BD1">
        <w:rPr>
          <w:rStyle w:val="FootnoteReference"/>
        </w:rPr>
        <w:footnoteReference w:id="-1"/>
      </w:r>
      <w:r w:rsidRPr="00031BD1">
        <w:t>.)</w:t>
      </w:r>
    </w:p>
    <w:p w:rsidR="007D034E" w:rsidRPr="00031BD1" w:rsidRDefault="007D034E" w:rsidP="007D034E">
      <w:r w:rsidRPr="00031BD1">
        <w:t>Americans more than others are alert to how original their political union of 1776 was: to obtain liberation from a ‘mother’ country – doing so by forming an association between thirteen separate colonies</w:t>
      </w:r>
      <w:r w:rsidR="00842806" w:rsidRPr="00031BD1">
        <w:t>,</w:t>
      </w:r>
      <w:r w:rsidRPr="00031BD1">
        <w:t xml:space="preserve"> some of them starkly different – different with respect to, e. g., religious creed and economy – and with strong state powers; to create a republic in a world dominated by kings and emperors – Switzerland the obvious exception – indeed something sufficiently original to qualify as an innovation of sorts (a design, someone?). But what sort?</w:t>
      </w:r>
    </w:p>
    <w:p w:rsidR="007D034E" w:rsidRPr="00031BD1" w:rsidRDefault="007D034E" w:rsidP="007D034E">
      <w:r w:rsidRPr="00031BD1">
        <w:t xml:space="preserve">With the definition of innovation as an idea that has achieved success, the disparate examples given do qualify as innovations, don’t they? But what should the category be termed? Cultural innovation would seem to apply more to new styles like rock, rap, surrealism, or cubism. Social innovation is a category already existing, and for something a bit different. </w:t>
      </w:r>
      <w:proofErr w:type="gramStart"/>
      <w:r w:rsidRPr="00031BD1">
        <w:t>Symbolic or semantic innovation?</w:t>
      </w:r>
      <w:proofErr w:type="gramEnd"/>
    </w:p>
    <w:p w:rsidR="007D034E" w:rsidRPr="00031BD1" w:rsidRDefault="007D034E" w:rsidP="007D034E">
      <w:r w:rsidRPr="00031BD1">
        <w:t xml:space="preserve">Some thirty years ago, two Swedish researchers, </w:t>
      </w:r>
      <w:proofErr w:type="spellStart"/>
      <w:r w:rsidRPr="00031BD1">
        <w:t>Edquist</w:t>
      </w:r>
      <w:proofErr w:type="spellEnd"/>
      <w:r w:rsidRPr="00031BD1">
        <w:t xml:space="preserve"> and </w:t>
      </w:r>
      <w:proofErr w:type="spellStart"/>
      <w:r w:rsidRPr="00031BD1">
        <w:t>Edqvist</w:t>
      </w:r>
      <w:proofErr w:type="spellEnd"/>
      <w:r w:rsidRPr="00031BD1">
        <w:t xml:space="preserve">, highlighted the sometime importance of </w:t>
      </w:r>
      <w:r w:rsidRPr="00031BD1">
        <w:rPr>
          <w:i/>
        </w:rPr>
        <w:t>social carriers</w:t>
      </w:r>
      <w:r w:rsidRPr="00031BD1">
        <w:t xml:space="preserve"> for innovation</w:t>
      </w:r>
      <w:r w:rsidRPr="00031BD1">
        <w:rPr>
          <w:rStyle w:val="FootnoteReference"/>
        </w:rPr>
        <w:footnoteReference w:id="0"/>
      </w:r>
      <w:r w:rsidRPr="00031BD1">
        <w:t xml:space="preserve">. Esperanto and Nynorsk obviously crave – serve as carriers for the need of – wordbooks and grammars. </w:t>
      </w:r>
      <w:proofErr w:type="spellStart"/>
      <w:r w:rsidRPr="00031BD1">
        <w:rPr>
          <w:i/>
        </w:rPr>
        <w:t>Sardana</w:t>
      </w:r>
      <w:proofErr w:type="spellEnd"/>
      <w:r w:rsidRPr="00031BD1">
        <w:t xml:space="preserve"> is performed outdoors so the </w:t>
      </w:r>
      <w:proofErr w:type="spellStart"/>
      <w:r w:rsidRPr="00031BD1">
        <w:rPr>
          <w:i/>
        </w:rPr>
        <w:t>cobla’s</w:t>
      </w:r>
      <w:proofErr w:type="spellEnd"/>
      <w:r w:rsidRPr="00031BD1">
        <w:t xml:space="preserve"> instruments have to produce sound sufficiently loud. And the ‘long’ </w:t>
      </w:r>
      <w:proofErr w:type="spellStart"/>
      <w:r w:rsidRPr="00031BD1">
        <w:rPr>
          <w:i/>
        </w:rPr>
        <w:t>sardana</w:t>
      </w:r>
      <w:proofErr w:type="spellEnd"/>
      <w:r w:rsidRPr="00031BD1">
        <w:t xml:space="preserve"> became a carrier for </w:t>
      </w:r>
      <w:proofErr w:type="spellStart"/>
      <w:r w:rsidRPr="00031BD1">
        <w:t>Andreu</w:t>
      </w:r>
      <w:proofErr w:type="spellEnd"/>
      <w:r w:rsidRPr="00031BD1">
        <w:t xml:space="preserve"> </w:t>
      </w:r>
      <w:proofErr w:type="spellStart"/>
      <w:r w:rsidRPr="00031BD1">
        <w:t>Touron’s</w:t>
      </w:r>
      <w:proofErr w:type="spellEnd"/>
      <w:r w:rsidRPr="00031BD1">
        <w:t xml:space="preserve"> invention the </w:t>
      </w:r>
      <w:proofErr w:type="spellStart"/>
      <w:r w:rsidRPr="00031BD1">
        <w:rPr>
          <w:i/>
        </w:rPr>
        <w:t>tenora</w:t>
      </w:r>
      <w:proofErr w:type="spellEnd"/>
      <w:r w:rsidRPr="00031BD1">
        <w:rPr>
          <w:i/>
        </w:rPr>
        <w:t xml:space="preserve"> oboe</w:t>
      </w:r>
      <w:r w:rsidRPr="00031BD1">
        <w:t xml:space="preserve">, thus transforming it into an innovation, certainly a designed one. For unknown entities, mathematicians use x, y, and z. Let’s choose to apply y and term this kind of innovation </w:t>
      </w:r>
      <w:proofErr w:type="spellStart"/>
      <w:r w:rsidRPr="00031BD1">
        <w:rPr>
          <w:i/>
        </w:rPr>
        <w:t>ynnovation</w:t>
      </w:r>
      <w:proofErr w:type="spellEnd"/>
      <w:r w:rsidRPr="00031BD1">
        <w:t>.</w:t>
      </w:r>
    </w:p>
    <w:p w:rsidR="007D034E" w:rsidRPr="00031BD1" w:rsidRDefault="007D034E" w:rsidP="007D034E">
      <w:r w:rsidRPr="00031BD1">
        <w:t xml:space="preserve">Cause-and-effect relationships can often be disputed or discussed, possibly generating an understanding of </w:t>
      </w:r>
      <w:r w:rsidR="00675F1F">
        <w:t>linkages as more of</w:t>
      </w:r>
      <w:r w:rsidRPr="00031BD1">
        <w:t xml:space="preserve"> symbiotic relationship</w:t>
      </w:r>
      <w:r w:rsidR="00675F1F">
        <w:t>s</w:t>
      </w:r>
      <w:r w:rsidRPr="00031BD1">
        <w:t xml:space="preserve">. The driving force behind the examples </w:t>
      </w:r>
      <w:r w:rsidR="00675F1F">
        <w:t>given</w:t>
      </w:r>
      <w:r w:rsidRPr="00031BD1">
        <w:t xml:space="preserve"> seem</w:t>
      </w:r>
      <w:r w:rsidR="00675F1F">
        <w:t>s</w:t>
      </w:r>
      <w:r w:rsidRPr="00031BD1">
        <w:t xml:space="preserve"> to be a striving for identity, and that identity was not just the </w:t>
      </w:r>
      <w:proofErr w:type="spellStart"/>
      <w:r w:rsidRPr="00031BD1">
        <w:rPr>
          <w:i/>
        </w:rPr>
        <w:t>sardana</w:t>
      </w:r>
      <w:proofErr w:type="spellEnd"/>
      <w:r w:rsidRPr="00031BD1">
        <w:t xml:space="preserve">, Nynorsk, Turkish, or the American constitution but something wider and more profound. What other forces might be conducive to </w:t>
      </w:r>
      <w:proofErr w:type="spellStart"/>
      <w:r w:rsidRPr="00031BD1">
        <w:t>ynnovation</w:t>
      </w:r>
      <w:proofErr w:type="spellEnd"/>
      <w:r w:rsidRPr="00031BD1">
        <w:t xml:space="preserve">, with its elements – which are they? – </w:t>
      </w:r>
      <w:proofErr w:type="gramStart"/>
      <w:r w:rsidRPr="00031BD1">
        <w:t>of</w:t>
      </w:r>
      <w:proofErr w:type="gramEnd"/>
      <w:r w:rsidRPr="00031BD1">
        <w:t xml:space="preserve"> design? What might be the carrier for or impetus to </w:t>
      </w:r>
      <w:proofErr w:type="spellStart"/>
      <w:r w:rsidRPr="00031BD1">
        <w:t>ynnovation</w:t>
      </w:r>
      <w:proofErr w:type="spellEnd"/>
      <w:r w:rsidRPr="00031BD1">
        <w:t xml:space="preserve">, and what might a particular </w:t>
      </w:r>
      <w:proofErr w:type="spellStart"/>
      <w:r w:rsidRPr="00031BD1">
        <w:t>ynnovation</w:t>
      </w:r>
      <w:proofErr w:type="spellEnd"/>
      <w:r w:rsidRPr="00031BD1">
        <w:t xml:space="preserve"> serve as a carrier for? What technologies and innovations might be spawned or brought into existence symbiotically, by or with </w:t>
      </w:r>
      <w:proofErr w:type="spellStart"/>
      <w:r w:rsidRPr="00031BD1">
        <w:t>ynnovation</w:t>
      </w:r>
      <w:proofErr w:type="spellEnd"/>
      <w:r w:rsidRPr="00031BD1">
        <w:t xml:space="preserve">? </w:t>
      </w:r>
      <w:proofErr w:type="spellStart"/>
      <w:r w:rsidRPr="00031BD1">
        <w:t>Facebook</w:t>
      </w:r>
      <w:proofErr w:type="spellEnd"/>
      <w:r w:rsidRPr="00031BD1">
        <w:t xml:space="preserve"> and social media in general come to mind since they are currently so topical. As always, the challenge is to perceive the coming topicality before it occupies main stage.</w:t>
      </w:r>
    </w:p>
    <w:p w:rsidR="00842806" w:rsidRPr="00031BD1" w:rsidRDefault="007D034E" w:rsidP="007D034E">
      <w:r w:rsidRPr="00031BD1">
        <w:t xml:space="preserve">So: </w:t>
      </w:r>
      <w:r w:rsidR="00842806" w:rsidRPr="00031BD1">
        <w:t>our ideas about what forms future innovation, and therefore the future, should</w:t>
      </w:r>
      <w:r w:rsidRPr="00031BD1">
        <w:t xml:space="preserve"> encompass </w:t>
      </w:r>
      <w:proofErr w:type="spellStart"/>
      <w:r w:rsidRPr="00031BD1">
        <w:rPr>
          <w:i/>
        </w:rPr>
        <w:t>ynnovation</w:t>
      </w:r>
      <w:proofErr w:type="spellEnd"/>
      <w:r w:rsidRPr="00031BD1">
        <w:t xml:space="preserve"> also. The contribution</w:t>
      </w:r>
      <w:r w:rsidR="00842806" w:rsidRPr="00031BD1">
        <w:t xml:space="preserve"> attempted</w:t>
      </w:r>
      <w:r w:rsidRPr="00031BD1">
        <w:t xml:space="preserve"> here is to give it a name, to design it in the sense of giving it a sign without which it might go undiscovered and untapped. Indeed a further opportunity for the exploration of a foreign ecology.</w:t>
      </w:r>
    </w:p>
    <w:p w:rsidR="00114341" w:rsidRPr="00031BD1" w:rsidRDefault="00842806" w:rsidP="00114341">
      <w:pPr>
        <w:rPr>
          <w:b/>
        </w:rPr>
      </w:pPr>
      <w:proofErr w:type="spellStart"/>
      <w:r w:rsidRPr="00031BD1">
        <w:rPr>
          <w:b/>
        </w:rPr>
        <w:t>Mesovation</w:t>
      </w:r>
      <w:proofErr w:type="spellEnd"/>
    </w:p>
    <w:p w:rsidR="00842806" w:rsidRPr="00031BD1" w:rsidRDefault="00842806" w:rsidP="00842806">
      <w:r w:rsidRPr="00031BD1">
        <w:t xml:space="preserve">The concept of creativity is so popular that more than 150 definitions have been suggested. Partly this is because it applies in so many fields, from poetry and sculpture to science and technology. In technology, we often contrast incremental improvement and </w:t>
      </w:r>
      <w:r w:rsidRPr="00031BD1">
        <w:rPr>
          <w:i/>
        </w:rPr>
        <w:t>kaizen</w:t>
      </w:r>
      <w:r w:rsidRPr="00031BD1">
        <w:t xml:space="preserve"> with radical departures. But might there not be several flavors of creativity? </w:t>
      </w:r>
      <w:proofErr w:type="gramStart"/>
      <w:r w:rsidRPr="00031BD1">
        <w:t>May such contrasting simplifications lead us astray</w:t>
      </w:r>
      <w:proofErr w:type="gramEnd"/>
      <w:r w:rsidRPr="00031BD1">
        <w:t xml:space="preserve">, </w:t>
      </w:r>
      <w:proofErr w:type="gramStart"/>
      <w:r w:rsidRPr="00031BD1">
        <w:t>may they risk misleading us</w:t>
      </w:r>
      <w:proofErr w:type="gramEnd"/>
      <w:r w:rsidRPr="00031BD1">
        <w:t>?</w:t>
      </w:r>
    </w:p>
    <w:p w:rsidR="00842806" w:rsidRPr="00031BD1" w:rsidRDefault="00842806" w:rsidP="00842806">
      <w:r w:rsidRPr="00031BD1">
        <w:t xml:space="preserve">Creativity researcher David Henry Feldman urges us to remember what he refers to as Middle C, in an allusion to the musical note of the same name. In other words, we tend to talk about Great Creativity, big ideas and radical breakthroughs, or (if we refer to them at all) we talk about the opposite – small creative incremental jumps – as more of an aside. </w:t>
      </w:r>
      <w:proofErr w:type="gramStart"/>
      <w:r w:rsidRPr="00031BD1">
        <w:t>This despite the fact that, when taken together, many small leaps can make a real difference.</w:t>
      </w:r>
      <w:proofErr w:type="gramEnd"/>
    </w:p>
    <w:p w:rsidR="00842806" w:rsidRPr="00031BD1" w:rsidRDefault="00842806" w:rsidP="00842806">
      <w:r w:rsidRPr="00031BD1">
        <w:t xml:space="preserve">Like with </w:t>
      </w:r>
      <w:proofErr w:type="spellStart"/>
      <w:r w:rsidRPr="00031BD1">
        <w:t>microtrends</w:t>
      </w:r>
      <w:proofErr w:type="spellEnd"/>
      <w:r w:rsidRPr="00031BD1">
        <w:rPr>
          <w:rStyle w:val="FootnoteReference"/>
        </w:rPr>
        <w:footnoteReference w:id="1"/>
      </w:r>
      <w:r w:rsidRPr="00031BD1">
        <w:t xml:space="preserve">, the point of that Middle C is to remind us that we are dealing with a continuum – a continuous, </w:t>
      </w:r>
      <w:r w:rsidR="00E17BD8">
        <w:t>incremental</w:t>
      </w:r>
      <w:r w:rsidRPr="00031BD1">
        <w:t xml:space="preserve"> scale – where what is radical to a greater or lesser degree is in the eye of the beholder, determined by the observer’s outlook or vantage point. If a researcher or practitioner focuses on either of the end-points of the scale, there is the risk of being led astray. In reality, how often does an idea actually reach the absolute extreme – high or low?</w:t>
      </w:r>
      <w:r w:rsidR="00031BD1" w:rsidRPr="00031BD1">
        <w:t xml:space="preserve"> Are we blind to certain important elements creating out future(s)?</w:t>
      </w:r>
    </w:p>
    <w:p w:rsidR="00842806" w:rsidRPr="00031BD1" w:rsidRDefault="00842806" w:rsidP="00842806">
      <w:r w:rsidRPr="00031BD1">
        <w:t xml:space="preserve">To refer to innovation instead – radical as opposed to incremental – is, of course, no different at all if we stick to creativity applied to technology or business in a broad sense. Quite reasonably, business idea or innovation competitions encourage what seems like big leaps, while work relating to improvements and sometimes suggestions for improvements – again, </w:t>
      </w:r>
      <w:r w:rsidRPr="00031BD1">
        <w:rPr>
          <w:i/>
        </w:rPr>
        <w:t>kaizen</w:t>
      </w:r>
      <w:r w:rsidRPr="00031BD1">
        <w:t xml:space="preserve"> – is the preserve of smaller-scale efforts in terms of </w:t>
      </w:r>
      <w:proofErr w:type="spellStart"/>
      <w:r w:rsidRPr="00031BD1">
        <w:t>radicality</w:t>
      </w:r>
      <w:proofErr w:type="spellEnd"/>
      <w:r w:rsidRPr="00031BD1">
        <w:t xml:space="preserve">: middle </w:t>
      </w:r>
      <w:proofErr w:type="spellStart"/>
      <w:r w:rsidRPr="00031BD1">
        <w:rPr>
          <w:i/>
        </w:rPr>
        <w:t>i</w:t>
      </w:r>
      <w:proofErr w:type="spellEnd"/>
      <w:r w:rsidRPr="00031BD1">
        <w:t xml:space="preserve"> innovation.</w:t>
      </w:r>
    </w:p>
    <w:p w:rsidR="00842806" w:rsidRPr="00031BD1" w:rsidRDefault="00842806" w:rsidP="00842806">
      <w:r w:rsidRPr="00031BD1">
        <w:t xml:space="preserve">After all, no-one is on the look-out for small advances, no-one competes to achieve modest innovation, and no-one receives recognition for a level of inventiveness that, despite not being low, is still only moderate: </w:t>
      </w:r>
      <w:proofErr w:type="spellStart"/>
      <w:r w:rsidRPr="00031BD1">
        <w:t>mesovation</w:t>
      </w:r>
      <w:proofErr w:type="spellEnd"/>
      <w:r w:rsidRPr="00031BD1">
        <w:t xml:space="preserve"> (micro, macro, </w:t>
      </w:r>
      <w:proofErr w:type="spellStart"/>
      <w:r w:rsidRPr="00031BD1">
        <w:rPr>
          <w:i/>
        </w:rPr>
        <w:t>meso</w:t>
      </w:r>
      <w:proofErr w:type="spellEnd"/>
      <w:r w:rsidRPr="00031BD1">
        <w:t>). Why so? Do we not, then, run the risk that the best becomes the enemy of the good? Why not also reward mid-level creativity?</w:t>
      </w:r>
    </w:p>
    <w:p w:rsidR="00842806" w:rsidRPr="00031BD1" w:rsidRDefault="00842806" w:rsidP="00842806">
      <w:r w:rsidRPr="00031BD1">
        <w:t xml:space="preserve">The same goes for those of us who are creativity and innovation researchers, and for those who study our/their works. </w:t>
      </w:r>
      <w:r w:rsidR="00031BD1" w:rsidRPr="00031BD1">
        <w:t xml:space="preserve">And what about futurists? </w:t>
      </w:r>
      <w:r w:rsidRPr="00031BD1">
        <w:t>By the very nature of things, it is the radical, attention-grabbing breakthroughs that end up in the spotlight. But what do we thus miss out? What do we lose in terms of a more general understanding that could be applicable at both high and low levels, both at the highly innovative and incremental ends?</w:t>
      </w:r>
      <w:r w:rsidR="00031BD1" w:rsidRPr="00031BD1">
        <w:t xml:space="preserve"> What mid-level innovations have vast repercussions despite their mediocre height as pure technology?</w:t>
      </w:r>
    </w:p>
    <w:p w:rsidR="00842806" w:rsidRPr="00031BD1" w:rsidRDefault="00031BD1" w:rsidP="00842806">
      <w:r w:rsidRPr="00031BD1">
        <w:t>Psychologists and linguists</w:t>
      </w:r>
      <w:r w:rsidR="00E17BD8">
        <w:t xml:space="preserve"> teach us that</w:t>
      </w:r>
      <w:r w:rsidR="00842806" w:rsidRPr="00031BD1">
        <w:t xml:space="preserve"> different langua</w:t>
      </w:r>
      <w:r w:rsidR="00E17BD8">
        <w:t>ges “see” the world differently; language characteristics (such as gender attribution)</w:t>
      </w:r>
      <w:r w:rsidR="00842806" w:rsidRPr="00031BD1">
        <w:t xml:space="preserve"> </w:t>
      </w:r>
      <w:r w:rsidR="00E17BD8">
        <w:t>influence</w:t>
      </w:r>
      <w:r w:rsidR="00842806" w:rsidRPr="00031BD1">
        <w:t xml:space="preserve"> how we </w:t>
      </w:r>
      <w:r w:rsidR="00E17BD8">
        <w:t>perceive</w:t>
      </w:r>
      <w:r w:rsidR="00842806" w:rsidRPr="00031BD1">
        <w:t xml:space="preserve"> the world. The Swedish language actually has a word for that which is just right, in the middle – </w:t>
      </w:r>
      <w:proofErr w:type="spellStart"/>
      <w:r w:rsidR="00842806" w:rsidRPr="00031BD1">
        <w:rPr>
          <w:i/>
        </w:rPr>
        <w:t>lagom</w:t>
      </w:r>
      <w:proofErr w:type="spellEnd"/>
      <w:r w:rsidR="00842806" w:rsidRPr="00031BD1">
        <w:t xml:space="preserve"> – a word lacking a satisfactory translation into many other languages. It would hardly be appropriate to call for an ombudsman or a champion for all that is </w:t>
      </w:r>
      <w:proofErr w:type="spellStart"/>
      <w:r w:rsidR="00842806" w:rsidRPr="00031BD1">
        <w:rPr>
          <w:i/>
        </w:rPr>
        <w:t>lagom</w:t>
      </w:r>
      <w:proofErr w:type="spellEnd"/>
      <w:r w:rsidR="00842806" w:rsidRPr="00031BD1">
        <w:t xml:space="preserve">, to inventory the degree of </w:t>
      </w:r>
      <w:proofErr w:type="spellStart"/>
      <w:r w:rsidR="00842806" w:rsidRPr="00031BD1">
        <w:t>lagom-ness</w:t>
      </w:r>
      <w:proofErr w:type="spellEnd"/>
      <w:r w:rsidR="00842806" w:rsidRPr="00031BD1">
        <w:t xml:space="preserve">, but wherever an adequate solution is lacking, a niche arises for unique competitiveness. Within the market for goods and services, Middle C and </w:t>
      </w:r>
      <w:proofErr w:type="spellStart"/>
      <w:r w:rsidR="00842806" w:rsidRPr="00031BD1">
        <w:t>mesovation</w:t>
      </w:r>
      <w:proofErr w:type="spellEnd"/>
      <w:r w:rsidR="00842806" w:rsidRPr="00031BD1">
        <w:t xml:space="preserve"> could be a factor for gaining a competitive edge, while not something that creates its own specific industry. When it comes to research and education, however, the situation is quite different. If a field has not been studied, there are plenty of opportunities for making discoveries that bring their own reward – cited articles, titles, positions, and grants that belong to the realm of scientific endeavor. </w:t>
      </w:r>
    </w:p>
    <w:p w:rsidR="00842806" w:rsidRPr="00031BD1" w:rsidRDefault="00E17BD8" w:rsidP="00842806">
      <w:r>
        <w:t>Partly t</w:t>
      </w:r>
      <w:r w:rsidR="00842806" w:rsidRPr="00031BD1">
        <w:t xml:space="preserve">his line of reasoning </w:t>
      </w:r>
      <w:r>
        <w:t>arose from studying</w:t>
      </w:r>
      <w:r w:rsidR="00842806" w:rsidRPr="00031BD1">
        <w:t xml:space="preserve"> two books by Umberto Eco: </w:t>
      </w:r>
      <w:r w:rsidR="00842806" w:rsidRPr="00031BD1">
        <w:rPr>
          <w:i/>
        </w:rPr>
        <w:t>On Beauty</w:t>
      </w:r>
      <w:r w:rsidR="00842806" w:rsidRPr="00031BD1">
        <w:t xml:space="preserve"> and </w:t>
      </w:r>
      <w:r w:rsidR="00842806" w:rsidRPr="00031BD1">
        <w:rPr>
          <w:i/>
        </w:rPr>
        <w:t>On Ugliness</w:t>
      </w:r>
      <w:r w:rsidR="00842806" w:rsidRPr="00031BD1">
        <w:t xml:space="preserve">. </w:t>
      </w:r>
      <w:r>
        <w:t>Because there is a void: there</w:t>
      </w:r>
      <w:r w:rsidR="00842806" w:rsidRPr="00031BD1">
        <w:t xml:space="preserve"> are </w:t>
      </w:r>
      <w:r w:rsidR="00842806" w:rsidRPr="00031BD1">
        <w:rPr>
          <w:i/>
        </w:rPr>
        <w:t>no works</w:t>
      </w:r>
      <w:r w:rsidR="00842806" w:rsidRPr="00031BD1">
        <w:t xml:space="preserve"> about </w:t>
      </w:r>
      <w:r w:rsidR="00842806" w:rsidRPr="00031BD1">
        <w:rPr>
          <w:i/>
        </w:rPr>
        <w:t>the middle ground</w:t>
      </w:r>
      <w:r w:rsidR="00842806" w:rsidRPr="00031BD1">
        <w:t xml:space="preserve"> – all that which is indifferent, lukewarm, moderately interesting, or even uninteresting, tiring. But note that Middle C and the mid-level of innovation – </w:t>
      </w:r>
      <w:proofErr w:type="spellStart"/>
      <w:r w:rsidR="00842806" w:rsidRPr="00031BD1">
        <w:t>mesovation</w:t>
      </w:r>
      <w:proofErr w:type="spellEnd"/>
      <w:r w:rsidR="00842806" w:rsidRPr="00031BD1">
        <w:t xml:space="preserve"> – need not be uninteresting or indifferent – they simply belong somewhere closer to the middle ground when viewed on a continuous scale. Instead of lukewarm or indifferent, try if not </w:t>
      </w:r>
      <w:proofErr w:type="spellStart"/>
      <w:r w:rsidR="00842806" w:rsidRPr="00031BD1">
        <w:rPr>
          <w:i/>
        </w:rPr>
        <w:t>lagom</w:t>
      </w:r>
      <w:proofErr w:type="spellEnd"/>
      <w:r w:rsidR="00842806" w:rsidRPr="00031BD1">
        <w:t xml:space="preserve"> then </w:t>
      </w:r>
      <w:r w:rsidR="00842806" w:rsidRPr="00031BD1">
        <w:rPr>
          <w:i/>
        </w:rPr>
        <w:t>appropriate</w:t>
      </w:r>
      <w:r w:rsidR="00842806" w:rsidRPr="00031BD1">
        <w:t xml:space="preserve">.  So do not forget to celebrate moderation sometimes – that which is </w:t>
      </w:r>
      <w:r w:rsidR="00842806" w:rsidRPr="00031BD1">
        <w:rPr>
          <w:i/>
        </w:rPr>
        <w:t>appropriate</w:t>
      </w:r>
      <w:r w:rsidR="00842806" w:rsidRPr="00031BD1">
        <w:t>!</w:t>
      </w:r>
    </w:p>
    <w:p w:rsidR="00031BD1" w:rsidRPr="00031BD1" w:rsidRDefault="00031BD1" w:rsidP="00CB675B">
      <w:pPr>
        <w:spacing w:beforeLines="1" w:afterLines="1"/>
        <w:outlineLvl w:val="2"/>
        <w:rPr>
          <w:b/>
          <w:szCs w:val="20"/>
        </w:rPr>
      </w:pPr>
      <w:proofErr w:type="spellStart"/>
      <w:r w:rsidRPr="00031BD1">
        <w:rPr>
          <w:b/>
          <w:szCs w:val="20"/>
        </w:rPr>
        <w:t>Exovation</w:t>
      </w:r>
      <w:proofErr w:type="spellEnd"/>
      <w:r w:rsidRPr="00031BD1">
        <w:rPr>
          <w:b/>
          <w:szCs w:val="20"/>
        </w:rPr>
        <w:t xml:space="preserve"> </w:t>
      </w:r>
    </w:p>
    <w:tbl>
      <w:tblPr>
        <w:tblW w:w="0" w:type="auto"/>
        <w:tblCellSpacing w:w="0" w:type="dxa"/>
        <w:tblCellMar>
          <w:top w:w="15" w:type="dxa"/>
          <w:left w:w="15" w:type="dxa"/>
          <w:bottom w:w="15" w:type="dxa"/>
          <w:right w:w="15" w:type="dxa"/>
        </w:tblCellMar>
        <w:tblLook w:val="0000"/>
      </w:tblPr>
      <w:tblGrid>
        <w:gridCol w:w="8360"/>
      </w:tblGrid>
      <w:tr w:rsidR="00031BD1" w:rsidRPr="00031BD1">
        <w:trPr>
          <w:tblCellSpacing w:w="0" w:type="dxa"/>
        </w:trPr>
        <w:tc>
          <w:tcPr>
            <w:tcW w:w="0" w:type="auto"/>
            <w:shd w:val="clear" w:color="auto" w:fill="auto"/>
            <w:vAlign w:val="center"/>
          </w:tcPr>
          <w:p w:rsidR="00031BD1" w:rsidRPr="00031BD1" w:rsidRDefault="00031BD1" w:rsidP="00031BD1">
            <w:pPr>
              <w:rPr>
                <w:szCs w:val="20"/>
              </w:rPr>
            </w:pPr>
            <w:r w:rsidRPr="00031BD1">
              <w:rPr>
                <w:szCs w:val="20"/>
              </w:rPr>
              <w:t xml:space="preserve">It is unlikely that you have ever met the concept of </w:t>
            </w:r>
            <w:proofErr w:type="spellStart"/>
            <w:r w:rsidRPr="00031BD1">
              <w:rPr>
                <w:szCs w:val="20"/>
              </w:rPr>
              <w:t>exovation</w:t>
            </w:r>
            <w:proofErr w:type="spellEnd"/>
            <w:r w:rsidRPr="00031BD1">
              <w:rPr>
                <w:szCs w:val="20"/>
              </w:rPr>
              <w:t xml:space="preserve"> before; I invented it in April 2008. Invented? Yes, indeed – even if a Google search obtains a couple hundred hits; but they have nothing to do with the concept as I have defined it. You will see, presently. </w:t>
            </w:r>
          </w:p>
          <w:p w:rsidR="00031BD1" w:rsidRPr="00031BD1" w:rsidRDefault="00031BD1" w:rsidP="00031BD1">
            <w:pPr>
              <w:rPr>
                <w:szCs w:val="20"/>
              </w:rPr>
            </w:pPr>
            <w:r w:rsidRPr="00031BD1">
              <w:rPr>
                <w:szCs w:val="20"/>
              </w:rPr>
              <w:t xml:space="preserve">What are the obstacles to innovation? Numerous, to be sure. A company credited with profound concern for innovation and thus </w:t>
            </w:r>
            <w:r w:rsidR="00E17BD8">
              <w:rPr>
                <w:szCs w:val="20"/>
              </w:rPr>
              <w:t>displaying</w:t>
            </w:r>
            <w:r w:rsidRPr="00031BD1">
              <w:rPr>
                <w:szCs w:val="20"/>
              </w:rPr>
              <w:t xml:space="preserve"> important features is 3M, the corporation of Scotch Tape and Post-It Notes fame. Academics and journalists alike have fallen for their charms, though criticism has also been voiced.</w:t>
            </w:r>
          </w:p>
          <w:p w:rsidR="00031BD1" w:rsidRPr="00031BD1" w:rsidRDefault="00031BD1" w:rsidP="00031BD1">
            <w:pPr>
              <w:rPr>
                <w:szCs w:val="20"/>
              </w:rPr>
            </w:pPr>
            <w:r w:rsidRPr="00031BD1">
              <w:rPr>
                <w:szCs w:val="20"/>
              </w:rPr>
              <w:t xml:space="preserve">One of their innovation mechanisms is found in the establishment of precise criteria for renewal. Each and every business unit has to get a certain share of </w:t>
            </w:r>
            <w:r w:rsidR="00E17BD8">
              <w:rPr>
                <w:szCs w:val="20"/>
              </w:rPr>
              <w:t>its</w:t>
            </w:r>
            <w:r w:rsidRPr="00031BD1">
              <w:rPr>
                <w:szCs w:val="20"/>
              </w:rPr>
              <w:t xml:space="preserve"> revenue, thus a quotient, from products that are younger than a certain amount of time. So X per cent of revenue must be generated from products that are no older than Y years. (The reason for not mentioning X and Y is that they have been adjusted at l</w:t>
            </w:r>
            <w:r w:rsidR="00E17BD8">
              <w:rPr>
                <w:szCs w:val="20"/>
              </w:rPr>
              <w:t>east once to reflect a need for</w:t>
            </w:r>
            <w:r w:rsidRPr="00031BD1">
              <w:rPr>
                <w:szCs w:val="20"/>
              </w:rPr>
              <w:t xml:space="preserve"> higher speed, and I am not certain what the current levels are.) – The criticism I mentioned takes issue with a quantification that may be subject to manipulation, a risk when applying rules blindly and rigidly. So wisdom and common sense must prevail.</w:t>
            </w:r>
          </w:p>
          <w:p w:rsidR="00031BD1" w:rsidRPr="00031BD1" w:rsidRDefault="00031BD1" w:rsidP="00031BD1">
            <w:pPr>
              <w:rPr>
                <w:szCs w:val="20"/>
              </w:rPr>
            </w:pPr>
            <w:r w:rsidRPr="00031BD1">
              <w:rPr>
                <w:szCs w:val="20"/>
              </w:rPr>
              <w:t>The obvious route to achieve the required share is to get new products going, to innovate. But do recall that I talked about a quotient: new products enter in the dividend, but to get the ratio, there is the divisor too. In this case, we have seen it consist of revenue generated by the ‘old’ products, aged more than Y years. So a complementary way of achieving the demanded quotient would be to reduce the divisor.</w:t>
            </w:r>
          </w:p>
          <w:p w:rsidR="00031BD1" w:rsidRPr="00031BD1" w:rsidRDefault="00031BD1" w:rsidP="00031BD1">
            <w:pPr>
              <w:rPr>
                <w:szCs w:val="20"/>
              </w:rPr>
            </w:pPr>
            <w:r w:rsidRPr="00031BD1">
              <w:rPr>
                <w:szCs w:val="20"/>
              </w:rPr>
              <w:t xml:space="preserve">It is here that we find </w:t>
            </w:r>
            <w:proofErr w:type="spellStart"/>
            <w:r w:rsidRPr="00031BD1">
              <w:rPr>
                <w:szCs w:val="20"/>
              </w:rPr>
              <w:t>exovation</w:t>
            </w:r>
            <w:proofErr w:type="spellEnd"/>
            <w:r w:rsidRPr="00031BD1">
              <w:rPr>
                <w:szCs w:val="20"/>
              </w:rPr>
              <w:t>, the power of GETTING RID OF (some of) prevailing products… Behind the 3M dictum we find the profound insight that there are older mainstay products that are just about marginally profitable, if even that and not just forgotten living dead, all the while requiring attention, engagement, involvement, management resources, routine but not-for-free upkeep such as storing, catalog updates, inventorying, information in data bases</w:t>
            </w:r>
            <w:r w:rsidR="00E17BD8">
              <w:rPr>
                <w:szCs w:val="20"/>
              </w:rPr>
              <w:t>,</w:t>
            </w:r>
            <w:r w:rsidRPr="00031BD1">
              <w:rPr>
                <w:szCs w:val="20"/>
              </w:rPr>
              <w:t xml:space="preserve"> and bookkeeping. All activities taking focus away from the creation of novelty, all ties to the past, all routines that create lock-ins – taking time, attention, interest, engagement, thinking. </w:t>
            </w:r>
          </w:p>
          <w:p w:rsidR="00031BD1" w:rsidRPr="00031BD1" w:rsidRDefault="00031BD1" w:rsidP="00031BD1">
            <w:pPr>
              <w:rPr>
                <w:szCs w:val="20"/>
              </w:rPr>
            </w:pPr>
            <w:r w:rsidRPr="00031BD1">
              <w:rPr>
                <w:szCs w:val="20"/>
              </w:rPr>
              <w:t xml:space="preserve">Another large American corporation showcases another type of </w:t>
            </w:r>
            <w:proofErr w:type="spellStart"/>
            <w:r w:rsidRPr="00031BD1">
              <w:rPr>
                <w:szCs w:val="20"/>
              </w:rPr>
              <w:t>exovation</w:t>
            </w:r>
            <w:proofErr w:type="spellEnd"/>
            <w:r w:rsidRPr="00031BD1">
              <w:rPr>
                <w:szCs w:val="20"/>
              </w:rPr>
              <w:t xml:space="preserve">: the organization </w:t>
            </w:r>
            <w:r w:rsidR="00E17BD8">
              <w:rPr>
                <w:szCs w:val="20"/>
              </w:rPr>
              <w:t>of</w:t>
            </w:r>
            <w:r w:rsidRPr="00031BD1">
              <w:rPr>
                <w:szCs w:val="20"/>
              </w:rPr>
              <w:t xml:space="preserve"> its future. They have recognized that the organization of today reflects and thus tends to permeate the past; while the only thing that is entirely certain is that the future will be different. Therefore they have created a skeleton alternative organization for the future as anticipated, an organization with its own resources for creating novelties, for innovation. Since the guesses about the future are certain to be wrong, or not entirely right, there are free resources for projects that do not fit either the current or the skeleton future organization but that still merit being treated as lottery tickets.</w:t>
            </w:r>
          </w:p>
          <w:p w:rsidR="00031BD1" w:rsidRPr="00031BD1" w:rsidRDefault="00031BD1" w:rsidP="00031BD1">
            <w:pPr>
              <w:rPr>
                <w:szCs w:val="20"/>
              </w:rPr>
            </w:pPr>
            <w:r w:rsidRPr="00031BD1">
              <w:rPr>
                <w:szCs w:val="20"/>
              </w:rPr>
              <w:t xml:space="preserve">When Jimmy Carter was elected president in 1976, his program was much about better management. One particular management practice, fashionable then, that he had practiced as governor in Georgia, was zero-base budgeting, and this was highlighted in his campaign. The underlying philosophy is, in my term, about organizational </w:t>
            </w:r>
            <w:proofErr w:type="spellStart"/>
            <w:r w:rsidRPr="00031BD1">
              <w:rPr>
                <w:szCs w:val="20"/>
              </w:rPr>
              <w:t>exovation</w:t>
            </w:r>
            <w:proofErr w:type="spellEnd"/>
            <w:r w:rsidRPr="00031BD1">
              <w:rPr>
                <w:szCs w:val="20"/>
              </w:rPr>
              <w:t xml:space="preserve">: in each and every organization, there is an inertia that makes it continue doing just as during the previous year – with 4 per cent more in the budget or maybe a 3 per cent reduction on the margin. The zero-base budgeting recipe demands starting all over from the very beginning, relying on first principles to really understand what is worth paying for, what merits resources, what the trade-offs really are. As with so many radical recipes, this would be just too demanding to be followed to the letter, overall and every year, but there is at the bottom an important </w:t>
            </w:r>
            <w:proofErr w:type="spellStart"/>
            <w:r w:rsidRPr="00031BD1">
              <w:rPr>
                <w:szCs w:val="20"/>
              </w:rPr>
              <w:t>exovation</w:t>
            </w:r>
            <w:proofErr w:type="spellEnd"/>
            <w:r w:rsidRPr="00031BD1">
              <w:rPr>
                <w:szCs w:val="20"/>
              </w:rPr>
              <w:t xml:space="preserve"> proposition.</w:t>
            </w:r>
          </w:p>
          <w:p w:rsidR="00CB7DFC" w:rsidRDefault="00031BD1" w:rsidP="00031BD1">
            <w:pPr>
              <w:rPr>
                <w:szCs w:val="20"/>
              </w:rPr>
            </w:pPr>
            <w:r w:rsidRPr="00031BD1">
              <w:rPr>
                <w:szCs w:val="20"/>
              </w:rPr>
              <w:t xml:space="preserve">What might a program to develop methods for furthering </w:t>
            </w:r>
            <w:proofErr w:type="spellStart"/>
            <w:r w:rsidRPr="00031BD1">
              <w:rPr>
                <w:szCs w:val="20"/>
              </w:rPr>
              <w:t>exovation</w:t>
            </w:r>
            <w:proofErr w:type="spellEnd"/>
            <w:r w:rsidRPr="00031BD1">
              <w:rPr>
                <w:szCs w:val="20"/>
              </w:rPr>
              <w:t xml:space="preserve"> look like? An obvious route would be to design several more practical means to translate ‘more for the future, less to the past’ in practice. Another would be to have society at large, or government, being an exemplary forerunner rather than contributing to detrimental friction, utopian perhaps, but I have seen an example of how the soft infrastructure in society</w:t>
            </w:r>
            <w:r w:rsidR="00E17BD8">
              <w:rPr>
                <w:szCs w:val="20"/>
              </w:rPr>
              <w:t>, rules and laws,</w:t>
            </w:r>
            <w:r w:rsidRPr="00031BD1">
              <w:rPr>
                <w:szCs w:val="20"/>
              </w:rPr>
              <w:t xml:space="preserve"> if not </w:t>
            </w:r>
            <w:r w:rsidR="00014C6D">
              <w:rPr>
                <w:szCs w:val="20"/>
              </w:rPr>
              <w:t>explicitly requesting</w:t>
            </w:r>
            <w:r w:rsidRPr="00031BD1">
              <w:rPr>
                <w:szCs w:val="20"/>
              </w:rPr>
              <w:t xml:space="preserve"> </w:t>
            </w:r>
            <w:proofErr w:type="spellStart"/>
            <w:r w:rsidRPr="00031BD1">
              <w:rPr>
                <w:szCs w:val="20"/>
              </w:rPr>
              <w:t>exovation</w:t>
            </w:r>
            <w:proofErr w:type="spellEnd"/>
            <w:r w:rsidRPr="00031BD1">
              <w:rPr>
                <w:szCs w:val="20"/>
              </w:rPr>
              <w:t>, at least a novel rule to have R&amp;D investments compulsory in annual reports for public companies made for more</w:t>
            </w:r>
            <w:r w:rsidR="00014C6D">
              <w:rPr>
                <w:szCs w:val="20"/>
              </w:rPr>
              <w:t xml:space="preserve"> overt</w:t>
            </w:r>
            <w:r w:rsidRPr="00031BD1">
              <w:rPr>
                <w:szCs w:val="20"/>
              </w:rPr>
              <w:t xml:space="preserve"> focus on R&amp;D, and, as a subsidiary, on innovation. A natural approach for a researcher is to suggest that we collect, organize, and promote what we already know about how existing projects get in the way of new ones – like Thomas J Allen</w:t>
            </w:r>
            <w:r w:rsidR="00A641BE">
              <w:rPr>
                <w:rStyle w:val="FootnoteReference"/>
                <w:szCs w:val="20"/>
              </w:rPr>
              <w:footnoteReference w:id="2"/>
            </w:r>
            <w:r w:rsidRPr="00031BD1">
              <w:rPr>
                <w:szCs w:val="20"/>
              </w:rPr>
              <w:t xml:space="preserve"> has demonstrated how dangerous it is to decide on one single development trajectory too early into a project. Above, I listed a number of ways in which existing products contribute to inertia; that list might be enlarged, systematized, and its various components given weights.</w:t>
            </w:r>
          </w:p>
          <w:p w:rsidR="00CB7DFC" w:rsidRDefault="00CB7DFC" w:rsidP="00031BD1">
            <w:pPr>
              <w:rPr>
                <w:szCs w:val="20"/>
              </w:rPr>
            </w:pPr>
            <w:r>
              <w:rPr>
                <w:szCs w:val="20"/>
              </w:rPr>
              <w:t xml:space="preserve">For the futurist, the question may also be posited: are there some social, political, or cultural forces that would translate into mechanisms causing </w:t>
            </w:r>
            <w:proofErr w:type="spellStart"/>
            <w:r>
              <w:rPr>
                <w:szCs w:val="20"/>
              </w:rPr>
              <w:t>exovation</w:t>
            </w:r>
            <w:proofErr w:type="spellEnd"/>
            <w:r>
              <w:rPr>
                <w:szCs w:val="20"/>
              </w:rPr>
              <w:t xml:space="preserve">? Obviously legislation can become such an impetus, as can consumer or customer opinion, affecting demand and buying behavior. So, in effect, value changes may cause </w:t>
            </w:r>
            <w:proofErr w:type="spellStart"/>
            <w:r>
              <w:rPr>
                <w:szCs w:val="20"/>
              </w:rPr>
              <w:t>exovation</w:t>
            </w:r>
            <w:proofErr w:type="spellEnd"/>
            <w:r>
              <w:rPr>
                <w:szCs w:val="20"/>
              </w:rPr>
              <w:t xml:space="preserve"> – something for innovating organizations and futurists alike to take into account.</w:t>
            </w:r>
          </w:p>
          <w:p w:rsidR="00CB7DFC" w:rsidRPr="00C753F4" w:rsidRDefault="00CB7DFC" w:rsidP="00031BD1">
            <w:pPr>
              <w:rPr>
                <w:b/>
                <w:szCs w:val="20"/>
              </w:rPr>
            </w:pPr>
            <w:r w:rsidRPr="00C753F4">
              <w:rPr>
                <w:b/>
                <w:szCs w:val="20"/>
              </w:rPr>
              <w:t>More to the framework</w:t>
            </w:r>
          </w:p>
          <w:p w:rsidR="00031BD1" w:rsidRPr="00031BD1" w:rsidRDefault="00CB7DFC" w:rsidP="00031BD1">
            <w:pPr>
              <w:rPr>
                <w:szCs w:val="20"/>
              </w:rPr>
            </w:pPr>
            <w:r>
              <w:rPr>
                <w:szCs w:val="20"/>
              </w:rPr>
              <w:t xml:space="preserve">These four forces or factors constitute a rather heterogeneous set of descriptors of how innovation might be, if not controlled, then influenced. They are not </w:t>
            </w:r>
            <w:r w:rsidR="00C753F4">
              <w:rPr>
                <w:szCs w:val="20"/>
              </w:rPr>
              <w:t>the only ones of course, and may be seen as marginal ones at that. Marginal in most cases, yes, but when marginal not, by definition, important – and of they tend to be overlooked, their surprise value would be all the greater. Black swans, perhaps?</w:t>
            </w:r>
          </w:p>
          <w:p w:rsidR="00031BD1" w:rsidRPr="00031BD1" w:rsidRDefault="00031BD1" w:rsidP="00031BD1">
            <w:pPr>
              <w:rPr>
                <w:szCs w:val="20"/>
                <w:lang w:val="sv-SE"/>
              </w:rPr>
            </w:pPr>
          </w:p>
        </w:tc>
      </w:tr>
    </w:tbl>
    <w:p w:rsidR="00031BD1" w:rsidRPr="00031BD1" w:rsidRDefault="00031BD1" w:rsidP="00031BD1"/>
    <w:p w:rsidR="00842806" w:rsidRPr="00031BD1" w:rsidRDefault="00842806" w:rsidP="00842806"/>
    <w:p w:rsidR="00114341" w:rsidRPr="00031BD1" w:rsidRDefault="00114341"/>
    <w:sectPr w:rsidR="00114341" w:rsidRPr="00031BD1" w:rsidSect="00114341">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014C6D" w:rsidRPr="002B46FA" w:rsidRDefault="00014C6D">
      <w:pPr>
        <w:pStyle w:val="FootnoteText"/>
        <w:rPr>
          <w:rFonts w:ascii="Times New Roman" w:hAnsi="Times New Roman"/>
          <w:sz w:val="20"/>
        </w:rPr>
      </w:pPr>
      <w:r w:rsidRPr="00A641BE">
        <w:rPr>
          <w:rStyle w:val="FootnoteReference"/>
          <w:rFonts w:ascii="Times New Roman" w:hAnsi="Times New Roman"/>
          <w:sz w:val="20"/>
        </w:rPr>
        <w:footnoteRef/>
      </w:r>
      <w:r w:rsidRPr="00A641BE">
        <w:rPr>
          <w:rFonts w:ascii="Times New Roman" w:hAnsi="Times New Roman"/>
          <w:sz w:val="20"/>
        </w:rPr>
        <w:t xml:space="preserve"> </w:t>
      </w:r>
      <w:proofErr w:type="spellStart"/>
      <w:r w:rsidRPr="002B46FA">
        <w:rPr>
          <w:rFonts w:ascii="Times New Roman" w:hAnsi="Times New Roman"/>
          <w:sz w:val="20"/>
        </w:rPr>
        <w:t>Abley</w:t>
      </w:r>
      <w:proofErr w:type="spellEnd"/>
      <w:r w:rsidRPr="002B46FA">
        <w:rPr>
          <w:rFonts w:ascii="Times New Roman" w:hAnsi="Times New Roman"/>
          <w:sz w:val="20"/>
        </w:rPr>
        <w:t xml:space="preserve">, Mark: Spoken here. Houghton Mifflin, NY </w:t>
      </w:r>
      <w:proofErr w:type="spellStart"/>
      <w:r w:rsidRPr="002B46FA">
        <w:rPr>
          <w:rFonts w:ascii="Times New Roman" w:hAnsi="Times New Roman"/>
          <w:sz w:val="20"/>
        </w:rPr>
        <w:t>NY</w:t>
      </w:r>
      <w:proofErr w:type="spellEnd"/>
      <w:r w:rsidRPr="002B46FA">
        <w:rPr>
          <w:rFonts w:ascii="Times New Roman" w:hAnsi="Times New Roman"/>
          <w:sz w:val="20"/>
        </w:rPr>
        <w:t xml:space="preserve"> 2003</w:t>
      </w:r>
    </w:p>
  </w:footnote>
  <w:footnote w:id="0">
    <w:p w:rsidR="00014C6D" w:rsidRPr="002B46FA" w:rsidRDefault="00014C6D" w:rsidP="007D034E">
      <w:pPr>
        <w:rPr>
          <w:rFonts w:ascii="Times New Roman" w:hAnsi="Times New Roman"/>
          <w:sz w:val="20"/>
          <w:szCs w:val="20"/>
          <w:lang w:val="sv-SE"/>
        </w:rPr>
      </w:pPr>
      <w:r w:rsidRPr="002B46FA">
        <w:rPr>
          <w:rStyle w:val="FootnoteReference"/>
          <w:rFonts w:ascii="Times New Roman" w:hAnsi="Times New Roman"/>
          <w:sz w:val="20"/>
        </w:rPr>
        <w:footnoteRef/>
      </w:r>
      <w:r w:rsidRPr="002B46FA">
        <w:rPr>
          <w:rFonts w:ascii="Times New Roman" w:hAnsi="Times New Roman"/>
          <w:sz w:val="20"/>
        </w:rPr>
        <w:t xml:space="preserve"> </w:t>
      </w:r>
      <w:r w:rsidRPr="002B46FA">
        <w:rPr>
          <w:rFonts w:ascii="Times New Roman" w:hAnsi="Times New Roman"/>
          <w:bCs/>
          <w:color w:val="000000"/>
          <w:sz w:val="20"/>
          <w:lang w:val="sv-SE"/>
        </w:rPr>
        <w:t>Edquist,</w:t>
      </w:r>
      <w:r w:rsidRPr="002B46FA">
        <w:rPr>
          <w:rFonts w:ascii="Times New Roman" w:hAnsi="Times New Roman"/>
          <w:color w:val="000000"/>
          <w:sz w:val="20"/>
          <w:lang w:val="sv-SE"/>
        </w:rPr>
        <w:t xml:space="preserve"> Charles &amp; </w:t>
      </w:r>
      <w:r w:rsidRPr="002B46FA">
        <w:rPr>
          <w:rFonts w:ascii="Times New Roman" w:hAnsi="Times New Roman"/>
          <w:bCs/>
          <w:color w:val="000000"/>
          <w:sz w:val="20"/>
          <w:lang w:val="sv-SE"/>
        </w:rPr>
        <w:t>Edqvist</w:t>
      </w:r>
      <w:r w:rsidRPr="002B46FA">
        <w:rPr>
          <w:rFonts w:ascii="Times New Roman" w:hAnsi="Times New Roman"/>
          <w:color w:val="000000"/>
          <w:sz w:val="20"/>
          <w:lang w:val="sv-SE"/>
        </w:rPr>
        <w:t>, Olle: </w:t>
      </w:r>
      <w:r w:rsidRPr="002B46FA">
        <w:rPr>
          <w:rFonts w:ascii="Times New Roman" w:hAnsi="Times New Roman"/>
          <w:bCs/>
          <w:color w:val="000000"/>
          <w:sz w:val="20"/>
          <w:lang w:val="sv-SE"/>
        </w:rPr>
        <w:t>Social Carriers</w:t>
      </w:r>
      <w:r w:rsidRPr="002B46FA">
        <w:rPr>
          <w:rFonts w:ascii="Times New Roman" w:hAnsi="Times New Roman"/>
          <w:color w:val="000000"/>
          <w:sz w:val="20"/>
          <w:lang w:val="sv-SE"/>
        </w:rPr>
        <w:t xml:space="preserve"> of </w:t>
      </w:r>
      <w:proofErr w:type="spellStart"/>
      <w:r w:rsidRPr="002B46FA">
        <w:rPr>
          <w:rFonts w:ascii="Times New Roman" w:hAnsi="Times New Roman"/>
          <w:color w:val="000000"/>
          <w:sz w:val="20"/>
          <w:lang w:val="sv-SE"/>
        </w:rPr>
        <w:t>Techniques</w:t>
      </w:r>
      <w:proofErr w:type="spellEnd"/>
      <w:r w:rsidRPr="002B46FA">
        <w:rPr>
          <w:rFonts w:ascii="Times New Roman" w:hAnsi="Times New Roman"/>
          <w:color w:val="000000"/>
          <w:sz w:val="20"/>
          <w:lang w:val="sv-SE"/>
        </w:rPr>
        <w:t xml:space="preserve"> for Development, Journal of Peace Research No 4, </w:t>
      </w:r>
      <w:proofErr w:type="spellStart"/>
      <w:r w:rsidRPr="002B46FA">
        <w:rPr>
          <w:rFonts w:ascii="Times New Roman" w:hAnsi="Times New Roman"/>
          <w:color w:val="000000"/>
          <w:sz w:val="20"/>
          <w:lang w:val="sv-SE"/>
        </w:rPr>
        <w:t>Vol</w:t>
      </w:r>
      <w:proofErr w:type="spellEnd"/>
      <w:r w:rsidRPr="002B46FA">
        <w:rPr>
          <w:rFonts w:ascii="Times New Roman" w:hAnsi="Times New Roman"/>
          <w:color w:val="000000"/>
          <w:sz w:val="20"/>
          <w:lang w:val="sv-SE"/>
        </w:rPr>
        <w:t xml:space="preserve"> XVI, 1979.</w:t>
      </w:r>
    </w:p>
    <w:p w:rsidR="00014C6D" w:rsidRDefault="00014C6D" w:rsidP="007D034E">
      <w:pPr>
        <w:pStyle w:val="FootnoteText"/>
      </w:pPr>
    </w:p>
  </w:footnote>
  <w:footnote w:id="1">
    <w:p w:rsidR="00014C6D" w:rsidRPr="007A11D7" w:rsidRDefault="00014C6D">
      <w:pPr>
        <w:pStyle w:val="FootnoteText"/>
        <w:rPr>
          <w:rFonts w:ascii="Times New Roman" w:hAnsi="Times New Roman"/>
          <w:sz w:val="20"/>
        </w:rPr>
      </w:pPr>
      <w:r w:rsidRPr="007A11D7">
        <w:rPr>
          <w:rStyle w:val="FootnoteReference"/>
          <w:rFonts w:ascii="Times New Roman" w:hAnsi="Times New Roman"/>
          <w:sz w:val="20"/>
        </w:rPr>
        <w:footnoteRef/>
      </w:r>
      <w:r w:rsidRPr="007A11D7">
        <w:rPr>
          <w:rFonts w:ascii="Times New Roman" w:hAnsi="Times New Roman"/>
          <w:sz w:val="20"/>
        </w:rPr>
        <w:t xml:space="preserve"> </w:t>
      </w:r>
      <w:proofErr w:type="gramStart"/>
      <w:r w:rsidRPr="007A11D7">
        <w:rPr>
          <w:rFonts w:ascii="Times New Roman" w:hAnsi="Times New Roman"/>
          <w:sz w:val="20"/>
        </w:rPr>
        <w:t>Penn,</w:t>
      </w:r>
      <w:proofErr w:type="gramEnd"/>
      <w:r w:rsidRPr="007A11D7">
        <w:rPr>
          <w:rFonts w:ascii="Times New Roman" w:hAnsi="Times New Roman"/>
          <w:sz w:val="20"/>
        </w:rPr>
        <w:t xml:space="preserve"> Mark J with </w:t>
      </w:r>
      <w:proofErr w:type="spellStart"/>
      <w:r w:rsidRPr="007A11D7">
        <w:rPr>
          <w:rFonts w:ascii="Times New Roman" w:hAnsi="Times New Roman"/>
          <w:sz w:val="20"/>
        </w:rPr>
        <w:t>Zalesne</w:t>
      </w:r>
      <w:proofErr w:type="spellEnd"/>
      <w:r w:rsidRPr="007A11D7">
        <w:rPr>
          <w:rFonts w:ascii="Times New Roman" w:hAnsi="Times New Roman"/>
          <w:sz w:val="20"/>
        </w:rPr>
        <w:t xml:space="preserve">, E Kinney: </w:t>
      </w:r>
      <w:proofErr w:type="spellStart"/>
      <w:r w:rsidRPr="007A11D7">
        <w:rPr>
          <w:rFonts w:ascii="Times New Roman" w:hAnsi="Times New Roman"/>
          <w:sz w:val="20"/>
        </w:rPr>
        <w:t>Microtrends</w:t>
      </w:r>
      <w:proofErr w:type="spellEnd"/>
      <w:r w:rsidRPr="007A11D7">
        <w:rPr>
          <w:rFonts w:ascii="Times New Roman" w:hAnsi="Times New Roman"/>
          <w:sz w:val="20"/>
        </w:rPr>
        <w:t xml:space="preserve">. Twelve, NY </w:t>
      </w:r>
      <w:proofErr w:type="spellStart"/>
      <w:r w:rsidRPr="007A11D7">
        <w:rPr>
          <w:rFonts w:ascii="Times New Roman" w:hAnsi="Times New Roman"/>
          <w:sz w:val="20"/>
        </w:rPr>
        <w:t>NY</w:t>
      </w:r>
      <w:proofErr w:type="spellEnd"/>
      <w:r w:rsidRPr="007A11D7">
        <w:rPr>
          <w:rFonts w:ascii="Times New Roman" w:hAnsi="Times New Roman"/>
          <w:sz w:val="20"/>
        </w:rPr>
        <w:t xml:space="preserve"> 2007</w:t>
      </w:r>
    </w:p>
  </w:footnote>
  <w:footnote w:id="2">
    <w:p w:rsidR="00A641BE" w:rsidRDefault="00A641BE">
      <w:pPr>
        <w:pStyle w:val="FootnoteText"/>
      </w:pPr>
      <w:r w:rsidRPr="00A641BE">
        <w:rPr>
          <w:rStyle w:val="FootnoteReference"/>
          <w:rFonts w:ascii="Times New Roman" w:hAnsi="Times New Roman"/>
          <w:sz w:val="20"/>
        </w:rPr>
        <w:footnoteRef/>
      </w:r>
      <w:r w:rsidRPr="00A641BE">
        <w:rPr>
          <w:rFonts w:ascii="Times New Roman" w:hAnsi="Times New Roman"/>
          <w:sz w:val="20"/>
        </w:rPr>
        <w:t xml:space="preserve"> Allen, Thomas J: Managing the Flow of Technology. The MIT Press, Cambridge, MA 1977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14341"/>
    <w:rsid w:val="00014C6D"/>
    <w:rsid w:val="00031BD1"/>
    <w:rsid w:val="00114341"/>
    <w:rsid w:val="002B46FA"/>
    <w:rsid w:val="00485884"/>
    <w:rsid w:val="00675F1F"/>
    <w:rsid w:val="007A11D7"/>
    <w:rsid w:val="007D034E"/>
    <w:rsid w:val="00842806"/>
    <w:rsid w:val="008442F1"/>
    <w:rsid w:val="00955F47"/>
    <w:rsid w:val="00A641BE"/>
    <w:rsid w:val="00AA10F1"/>
    <w:rsid w:val="00C753F4"/>
    <w:rsid w:val="00CB675B"/>
    <w:rsid w:val="00CB7DFC"/>
    <w:rsid w:val="00E17BD8"/>
  </w:rsids>
  <m:mathPr>
    <m:mathFont m:val="Abadi MT Condensed Extra Bold"/>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626"/>
    <w:rPr>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unhideWhenUsed/>
    <w:rsid w:val="007D034E"/>
    <w:pPr>
      <w:spacing w:after="0"/>
    </w:pPr>
  </w:style>
  <w:style w:type="character" w:customStyle="1" w:styleId="FootnoteTextChar">
    <w:name w:val="Footnote Text Char"/>
    <w:basedOn w:val="DefaultParagraphFont"/>
    <w:link w:val="FootnoteText"/>
    <w:uiPriority w:val="99"/>
    <w:semiHidden/>
    <w:rsid w:val="007D034E"/>
    <w:rPr>
      <w:lang w:val="en-US"/>
    </w:rPr>
  </w:style>
  <w:style w:type="character" w:styleId="FootnoteReference">
    <w:name w:val="footnote reference"/>
    <w:basedOn w:val="DefaultParagraphFont"/>
    <w:uiPriority w:val="99"/>
    <w:semiHidden/>
    <w:unhideWhenUsed/>
    <w:rsid w:val="007D034E"/>
    <w:rPr>
      <w:vertAlign w:val="superscript"/>
    </w:rPr>
  </w:style>
</w:styles>
</file>

<file path=word/webSettings.xml><?xml version="1.0" encoding="utf-8"?>
<w:webSettings xmlns:r="http://schemas.openxmlformats.org/officeDocument/2006/relationships" xmlns:w="http://schemas.openxmlformats.org/wordprocessingml/2006/main">
  <w:divs>
    <w:div w:id="764425345">
      <w:bodyDiv w:val="1"/>
      <w:marLeft w:val="0"/>
      <w:marRight w:val="0"/>
      <w:marTop w:val="0"/>
      <w:marBottom w:val="0"/>
      <w:divBdr>
        <w:top w:val="none" w:sz="0" w:space="0" w:color="auto"/>
        <w:left w:val="none" w:sz="0" w:space="0" w:color="auto"/>
        <w:bottom w:val="none" w:sz="0" w:space="0" w:color="auto"/>
        <w:right w:val="none" w:sz="0" w:space="0" w:color="auto"/>
      </w:divBdr>
      <w:divsChild>
        <w:div w:id="996806344">
          <w:marLeft w:val="0"/>
          <w:marRight w:val="0"/>
          <w:marTop w:val="0"/>
          <w:marBottom w:val="0"/>
          <w:divBdr>
            <w:top w:val="none" w:sz="0" w:space="0" w:color="auto"/>
            <w:left w:val="none" w:sz="0" w:space="0" w:color="auto"/>
            <w:bottom w:val="none" w:sz="0" w:space="0" w:color="auto"/>
            <w:right w:val="none" w:sz="0" w:space="0" w:color="auto"/>
          </w:divBdr>
          <w:divsChild>
            <w:div w:id="6491836">
              <w:marLeft w:val="0"/>
              <w:marRight w:val="0"/>
              <w:marTop w:val="0"/>
              <w:marBottom w:val="0"/>
              <w:divBdr>
                <w:top w:val="none" w:sz="0" w:space="0" w:color="auto"/>
                <w:left w:val="none" w:sz="0" w:space="0" w:color="auto"/>
                <w:bottom w:val="none" w:sz="0" w:space="0" w:color="auto"/>
                <w:right w:val="none" w:sz="0" w:space="0" w:color="auto"/>
              </w:divBdr>
              <w:divsChild>
                <w:div w:id="18919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7</Pages>
  <Words>3053</Words>
  <Characters>17405</Characters>
  <Application>Microsoft Macintosh Word</Application>
  <DocSecurity>0</DocSecurity>
  <Lines>145</Lines>
  <Paragraphs>34</Paragraphs>
  <ScaleCrop>false</ScaleCrop>
  <Company>Mälardalen University</Company>
  <LinksUpToDate>false</LinksUpToDate>
  <CharactersWithSpaces>21374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Bengt-Arne Vedin</dc:creator>
  <cp:keywords/>
  <cp:lastModifiedBy>Bengt-Arne Vedin</cp:lastModifiedBy>
  <cp:revision>4</cp:revision>
  <cp:lastPrinted>2010-12-06T10:51:00Z</cp:lastPrinted>
  <dcterms:created xsi:type="dcterms:W3CDTF">2010-08-12T09:17:00Z</dcterms:created>
  <dcterms:modified xsi:type="dcterms:W3CDTF">2010-12-06T16:43:00Z</dcterms:modified>
</cp:coreProperties>
</file>