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91" w:rsidRDefault="0062193B" w:rsidP="00211D37">
      <w:pPr>
        <w:tabs>
          <w:tab w:val="left" w:pos="4820"/>
        </w:tabs>
      </w:pPr>
      <w:bookmarkStart w:id="0" w:name="_GoBack"/>
      <w:bookmarkEnd w:id="0"/>
      <w:r>
        <w:tab/>
        <w:t>Stockholm 201</w:t>
      </w:r>
      <w:r w:rsidR="00B83B94">
        <w:t>6</w:t>
      </w:r>
      <w:r>
        <w:t>-</w:t>
      </w:r>
      <w:r w:rsidR="00B83B94">
        <w:t>04</w:t>
      </w:r>
      <w:r>
        <w:t>-</w:t>
      </w:r>
      <w:r w:rsidR="00B83B94">
        <w:t>05</w:t>
      </w:r>
    </w:p>
    <w:p w:rsidR="00510B91" w:rsidRDefault="00510B91" w:rsidP="00510B91"/>
    <w:p w:rsidR="00510B91" w:rsidRDefault="00510B91" w:rsidP="00510B91"/>
    <w:p w:rsidR="00B83B94" w:rsidRPr="003C605F" w:rsidRDefault="00B83B94" w:rsidP="00B83B94">
      <w:pPr>
        <w:widowControl w:val="0"/>
        <w:autoSpaceDE w:val="0"/>
        <w:autoSpaceDN w:val="0"/>
        <w:adjustRightInd w:val="0"/>
        <w:rPr>
          <w:rFonts w:cs="Palatino Linotype"/>
          <w:b/>
          <w:sz w:val="28"/>
          <w:szCs w:val="28"/>
        </w:rPr>
      </w:pPr>
      <w:r w:rsidRPr="00D42B0A">
        <w:rPr>
          <w:rFonts w:cs="Palatino Linotype"/>
          <w:b/>
          <w:sz w:val="28"/>
          <w:szCs w:val="28"/>
        </w:rPr>
        <w:t xml:space="preserve">Svenska Uppfinnareföreningens promemoria, som underlag för utfrågningen </w:t>
      </w:r>
      <w:r>
        <w:rPr>
          <w:rFonts w:cs="Palatino Linotype"/>
          <w:b/>
          <w:sz w:val="28"/>
          <w:szCs w:val="28"/>
        </w:rPr>
        <w:br/>
      </w:r>
      <w:r w:rsidRPr="00D42B0A">
        <w:rPr>
          <w:rFonts w:cs="Palatino Linotype"/>
          <w:b/>
          <w:sz w:val="28"/>
          <w:szCs w:val="28"/>
        </w:rPr>
        <w:t>i Näringsutskottet 2016-04-28</w:t>
      </w:r>
    </w:p>
    <w:p w:rsidR="00B83B94" w:rsidRPr="00D42B0A" w:rsidRDefault="00B83B94" w:rsidP="00B83B94">
      <w:pPr>
        <w:widowControl w:val="0"/>
        <w:autoSpaceDE w:val="0"/>
        <w:autoSpaceDN w:val="0"/>
        <w:adjustRightInd w:val="0"/>
        <w:rPr>
          <w:rFonts w:cs="Palatino Linotype"/>
          <w:i/>
          <w:sz w:val="20"/>
          <w:szCs w:val="20"/>
        </w:rPr>
      </w:pPr>
      <w:r w:rsidRPr="00D42B0A">
        <w:rPr>
          <w:rFonts w:cs="Palatino Linotype"/>
          <w:i/>
          <w:sz w:val="20"/>
          <w:szCs w:val="20"/>
        </w:rPr>
        <w:t>Svenska Uppfinnareföreningen (SUF) är en riksorganisation för lokala uppfinnarföreningar, personer och företag. Föreningen har till syfte att centralt verka för främjandet av innovationsklimatet och i synnerhet den enskilde individens möjlighet att bidra till den framtida förnyelsen och välståndsutvecklingen i samhället. Föreningen har ca 2500 medlemmar i hela landet</w:t>
      </w:r>
      <w:r>
        <w:rPr>
          <w:rFonts w:cs="Palatino Linotype"/>
          <w:i/>
          <w:sz w:val="20"/>
          <w:szCs w:val="20"/>
        </w:rPr>
        <w:t>.</w:t>
      </w:r>
    </w:p>
    <w:p w:rsidR="00B83B94" w:rsidRPr="00D42B0A" w:rsidRDefault="00B83B94" w:rsidP="00B83B94">
      <w:pPr>
        <w:widowControl w:val="0"/>
        <w:autoSpaceDE w:val="0"/>
        <w:autoSpaceDN w:val="0"/>
        <w:adjustRightInd w:val="0"/>
        <w:rPr>
          <w:rFonts w:cs="Palatino Linotype"/>
          <w:sz w:val="20"/>
          <w:szCs w:val="20"/>
        </w:rPr>
      </w:pPr>
    </w:p>
    <w:p w:rsidR="00B83B94" w:rsidRPr="00D67BD7" w:rsidRDefault="00B83B94" w:rsidP="00B83B94">
      <w:pPr>
        <w:widowControl w:val="0"/>
        <w:autoSpaceDE w:val="0"/>
        <w:autoSpaceDN w:val="0"/>
        <w:adjustRightInd w:val="0"/>
        <w:rPr>
          <w:rFonts w:cs="Palatino Linotype"/>
          <w:b/>
        </w:rPr>
      </w:pPr>
      <w:r w:rsidRPr="00D67BD7">
        <w:rPr>
          <w:rFonts w:cs="Palatino Linotype"/>
          <w:b/>
          <w:bCs/>
        </w:rPr>
        <w:t>FÖRSTÄRKT IMMATERIALRÄTT</w:t>
      </w:r>
      <w:r>
        <w:rPr>
          <w:rFonts w:cs="Palatino Linotype"/>
          <w:b/>
          <w:bCs/>
        </w:rPr>
        <w:t xml:space="preserve"> - </w:t>
      </w:r>
      <w:r w:rsidRPr="00D67BD7">
        <w:rPr>
          <w:rFonts w:cs="Palatino Linotype"/>
          <w:b/>
          <w:bCs/>
        </w:rPr>
        <w:t>BAKGRUND</w:t>
      </w:r>
    </w:p>
    <w:p w:rsidR="00B83B94" w:rsidRPr="00B83B94" w:rsidRDefault="00B83B94" w:rsidP="00B83B94">
      <w:pPr>
        <w:widowControl w:val="0"/>
        <w:autoSpaceDE w:val="0"/>
        <w:autoSpaceDN w:val="0"/>
        <w:adjustRightInd w:val="0"/>
        <w:rPr>
          <w:rFonts w:ascii="Palatino Linotype" w:hAnsi="Palatino Linotype" w:cs="Palatino Linotype"/>
          <w:bCs/>
          <w:sz w:val="20"/>
          <w:szCs w:val="20"/>
        </w:rPr>
      </w:pPr>
      <w:r w:rsidRPr="00B83B94">
        <w:rPr>
          <w:rFonts w:ascii="Palatino Linotype" w:hAnsi="Palatino Linotype" w:cs="Palatino Linotype"/>
          <w:bCs/>
          <w:sz w:val="20"/>
          <w:szCs w:val="20"/>
        </w:rPr>
        <w:t>För några grupper är ett väl fungerande immaterialrättssystem helt avgörande. Det gäller såväl enskilda uppfinnare, som forskare verksamma inom universitetssfären och andra som avser att licensera sina affärsidéer till ett etablerat företag. För tillväxtföretagen gäller också att deras värde, som regel, är helt avhängigt styrkan i det immateriella skyddet.</w:t>
      </w:r>
    </w:p>
    <w:p w:rsidR="00B83B94" w:rsidRPr="00B83B94" w:rsidRDefault="00B83B94" w:rsidP="00B83B94">
      <w:pPr>
        <w:widowControl w:val="0"/>
        <w:autoSpaceDE w:val="0"/>
        <w:autoSpaceDN w:val="0"/>
        <w:adjustRightInd w:val="0"/>
        <w:rPr>
          <w:rFonts w:ascii="Palatino Linotype" w:hAnsi="Palatino Linotype" w:cs="Palatino Linotype"/>
          <w:bCs/>
          <w:sz w:val="20"/>
          <w:szCs w:val="20"/>
        </w:rPr>
      </w:pPr>
      <w:r w:rsidRPr="00B83B94">
        <w:rPr>
          <w:rFonts w:ascii="Palatino Linotype" w:hAnsi="Palatino Linotype" w:cs="Palatino Linotype"/>
          <w:bCs/>
          <w:sz w:val="20"/>
          <w:szCs w:val="20"/>
        </w:rPr>
        <w:t xml:space="preserve">Immaterialrättskompetensen i Sverige är i hög grad koncentrerad till de etablerade företagen. Den generella kunskapen kring immaterialrätt behöver utvecklas hos uppfinnare, entreprenörer samt hos privata och offentliga finansiärer. Dessutom behöver rådgivningen utökas angående strategiskt användande av immaterialrätten inklusive förutsättningar för att skydda sitt patent vid en ev tvist. </w:t>
      </w:r>
      <w:r w:rsidRPr="00B83B94">
        <w:rPr>
          <w:rFonts w:ascii="Palatino Linotype" w:hAnsi="Palatino Linotype" w:cs="Palatino Linotype"/>
          <w:b/>
          <w:bCs/>
          <w:sz w:val="20"/>
          <w:szCs w:val="20"/>
        </w:rPr>
        <w:t xml:space="preserve">Regeringens uppdrag till PRV och Vinnova angående ökad kunskapsspridning, rådgivning och studier om immaterialrätt är synnerligen välkommet. Det finns dock möjlighet att göra mer. </w:t>
      </w:r>
      <w:r w:rsidRPr="00B83B94">
        <w:rPr>
          <w:rFonts w:ascii="Palatino Linotype" w:hAnsi="Palatino Linotype" w:cs="Palatino Linotype"/>
          <w:bCs/>
          <w:sz w:val="20"/>
          <w:szCs w:val="20"/>
        </w:rPr>
        <w:t>Dessa frågor har numera stort stöd EUs olika organ. Detta understryks i Junker-kommissionens översyn av den inre marknaden</w:t>
      </w:r>
      <w:r w:rsidRPr="00B83B94">
        <w:rPr>
          <w:rStyle w:val="Fotnotsreferens"/>
          <w:rFonts w:ascii="Palatino Linotype" w:hAnsi="Palatino Linotype" w:cs="Palatino Linotype"/>
          <w:bCs/>
          <w:sz w:val="20"/>
          <w:szCs w:val="20"/>
        </w:rPr>
        <w:footnoteReference w:id="1"/>
      </w:r>
      <w:r w:rsidRPr="00B83B94">
        <w:rPr>
          <w:rFonts w:ascii="Palatino Linotype" w:hAnsi="Palatino Linotype" w:cs="Palatino Linotype"/>
          <w:bCs/>
          <w:sz w:val="20"/>
          <w:szCs w:val="20"/>
        </w:rPr>
        <w:t xml:space="preserve">. Kommissionen etablerade redan år 2009 ett s.k. </w:t>
      </w:r>
      <w:hyperlink r:id="rId8" w:history="1">
        <w:r w:rsidRPr="00B83B94">
          <w:rPr>
            <w:rStyle w:val="Hyperlnk"/>
            <w:rFonts w:ascii="Palatino Linotype" w:hAnsi="Palatino Linotype" w:cs="Palatino Linotype"/>
            <w:bCs/>
            <w:sz w:val="20"/>
            <w:szCs w:val="20"/>
          </w:rPr>
          <w:t>observatorium</w:t>
        </w:r>
      </w:hyperlink>
      <w:r w:rsidRPr="00B83B94">
        <w:rPr>
          <w:rFonts w:ascii="Palatino Linotype" w:hAnsi="Palatino Linotype" w:cs="Palatino Linotype"/>
          <w:bCs/>
          <w:sz w:val="20"/>
          <w:szCs w:val="20"/>
        </w:rPr>
        <w:t xml:space="preserve"> för att följa dessa frågor i den globala industriella verkligheten.</w:t>
      </w:r>
    </w:p>
    <w:p w:rsidR="00B83B94" w:rsidRDefault="00B83B94" w:rsidP="00B83B94">
      <w:pPr>
        <w:widowControl w:val="0"/>
        <w:autoSpaceDE w:val="0"/>
        <w:autoSpaceDN w:val="0"/>
        <w:adjustRightInd w:val="0"/>
        <w:rPr>
          <w:rFonts w:cs="Palatino Linotype"/>
          <w:bCs/>
          <w:sz w:val="20"/>
          <w:szCs w:val="20"/>
        </w:rPr>
      </w:pPr>
    </w:p>
    <w:p w:rsidR="00B83B94" w:rsidRDefault="00B83B94" w:rsidP="00B83B94">
      <w:pPr>
        <w:widowControl w:val="0"/>
        <w:pBdr>
          <w:top w:val="double" w:sz="4" w:space="1" w:color="auto"/>
          <w:left w:val="double" w:sz="4" w:space="4" w:color="auto"/>
          <w:bottom w:val="double" w:sz="4" w:space="1" w:color="auto"/>
          <w:right w:val="double" w:sz="4" w:space="4" w:color="auto"/>
        </w:pBdr>
        <w:autoSpaceDE w:val="0"/>
        <w:autoSpaceDN w:val="0"/>
        <w:adjustRightInd w:val="0"/>
        <w:rPr>
          <w:rFonts w:cs="Palatino Linotype"/>
          <w:b/>
          <w:bCs/>
          <w:sz w:val="20"/>
          <w:szCs w:val="20"/>
        </w:rPr>
      </w:pPr>
      <w:r w:rsidRPr="00BB1BAD">
        <w:rPr>
          <w:rFonts w:cs="Palatino Linotype"/>
          <w:b/>
          <w:bCs/>
          <w:sz w:val="20"/>
          <w:szCs w:val="20"/>
        </w:rPr>
        <w:t>De övergripande fråg</w:t>
      </w:r>
      <w:r>
        <w:rPr>
          <w:rFonts w:cs="Palatino Linotype"/>
          <w:b/>
          <w:bCs/>
          <w:sz w:val="20"/>
          <w:szCs w:val="20"/>
        </w:rPr>
        <w:t>orna</w:t>
      </w:r>
      <w:r w:rsidRPr="00BB1BAD">
        <w:rPr>
          <w:rFonts w:cs="Palatino Linotype"/>
          <w:b/>
          <w:bCs/>
          <w:sz w:val="20"/>
          <w:szCs w:val="20"/>
        </w:rPr>
        <w:t xml:space="preserve"> </w:t>
      </w:r>
      <w:r>
        <w:rPr>
          <w:rFonts w:cs="Palatino Linotype"/>
          <w:b/>
          <w:bCs/>
          <w:sz w:val="20"/>
          <w:szCs w:val="20"/>
        </w:rPr>
        <w:t>för kapitalsvaga företag och uppfinnare är</w:t>
      </w:r>
      <w:r w:rsidRPr="00BB1BAD">
        <w:rPr>
          <w:rFonts w:cs="Palatino Linotype"/>
          <w:b/>
          <w:bCs/>
          <w:sz w:val="20"/>
          <w:szCs w:val="20"/>
        </w:rPr>
        <w:t xml:space="preserve">: </w:t>
      </w:r>
    </w:p>
    <w:p w:rsidR="00B83B94" w:rsidRDefault="00B83B94" w:rsidP="00B83B94">
      <w:pPr>
        <w:widowControl w:val="0"/>
        <w:pBdr>
          <w:top w:val="double" w:sz="4" w:space="1" w:color="auto"/>
          <w:left w:val="double" w:sz="4" w:space="4" w:color="auto"/>
          <w:bottom w:val="double" w:sz="4" w:space="1" w:color="auto"/>
          <w:right w:val="double" w:sz="4" w:space="4" w:color="auto"/>
        </w:pBdr>
        <w:autoSpaceDE w:val="0"/>
        <w:autoSpaceDN w:val="0"/>
        <w:adjustRightInd w:val="0"/>
        <w:rPr>
          <w:rFonts w:cs="Palatino Linotype"/>
          <w:b/>
          <w:bCs/>
          <w:sz w:val="20"/>
          <w:szCs w:val="20"/>
        </w:rPr>
      </w:pPr>
      <w:r>
        <w:rPr>
          <w:rFonts w:cs="Palatino Linotype"/>
          <w:b/>
          <w:bCs/>
          <w:sz w:val="20"/>
          <w:szCs w:val="20"/>
        </w:rPr>
        <w:t xml:space="preserve">Vilka värden skapar och vilket skydd ger det nuvarande </w:t>
      </w:r>
      <w:r w:rsidRPr="00BB1BAD">
        <w:rPr>
          <w:rFonts w:cs="Palatino Linotype"/>
          <w:b/>
          <w:bCs/>
          <w:sz w:val="20"/>
          <w:szCs w:val="20"/>
        </w:rPr>
        <w:t>immaterialrättsliga</w:t>
      </w:r>
      <w:r>
        <w:rPr>
          <w:rFonts w:cs="Palatino Linotype"/>
          <w:b/>
          <w:bCs/>
          <w:sz w:val="20"/>
          <w:szCs w:val="20"/>
        </w:rPr>
        <w:t xml:space="preserve"> systemet?</w:t>
      </w:r>
    </w:p>
    <w:p w:rsidR="00B83B94" w:rsidRPr="00BB1BAD" w:rsidRDefault="00B83B94" w:rsidP="00B83B94">
      <w:pPr>
        <w:widowControl w:val="0"/>
        <w:pBdr>
          <w:top w:val="double" w:sz="4" w:space="1" w:color="auto"/>
          <w:left w:val="double" w:sz="4" w:space="4" w:color="auto"/>
          <w:bottom w:val="double" w:sz="4" w:space="1" w:color="auto"/>
          <w:right w:val="double" w:sz="4" w:space="4" w:color="auto"/>
        </w:pBdr>
        <w:autoSpaceDE w:val="0"/>
        <w:autoSpaceDN w:val="0"/>
        <w:adjustRightInd w:val="0"/>
        <w:rPr>
          <w:rFonts w:cs="Palatino Linotype"/>
          <w:b/>
          <w:bCs/>
          <w:sz w:val="20"/>
          <w:szCs w:val="20"/>
        </w:rPr>
      </w:pPr>
      <w:r w:rsidRPr="00BB1BAD">
        <w:rPr>
          <w:rFonts w:cs="Palatino Linotype"/>
          <w:b/>
          <w:bCs/>
          <w:sz w:val="20"/>
          <w:szCs w:val="20"/>
        </w:rPr>
        <w:t>Vad är det immaterialrättsliga skyddet värt, när möjligheten att beivra intrång, är starkt begränsat?</w:t>
      </w:r>
    </w:p>
    <w:p w:rsidR="00B83B94" w:rsidRPr="00D42B0A" w:rsidRDefault="00B83B94" w:rsidP="00B83B94">
      <w:pPr>
        <w:widowControl w:val="0"/>
        <w:autoSpaceDE w:val="0"/>
        <w:autoSpaceDN w:val="0"/>
        <w:adjustRightInd w:val="0"/>
        <w:rPr>
          <w:rFonts w:cs="Palatino Linotype"/>
          <w:b/>
          <w:bCs/>
          <w:sz w:val="20"/>
          <w:szCs w:val="20"/>
        </w:rPr>
      </w:pPr>
    </w:p>
    <w:p w:rsidR="00B83B94" w:rsidRPr="00D67BD7" w:rsidRDefault="00B83B94" w:rsidP="00B83B94">
      <w:pPr>
        <w:widowControl w:val="0"/>
        <w:autoSpaceDE w:val="0"/>
        <w:autoSpaceDN w:val="0"/>
        <w:adjustRightInd w:val="0"/>
        <w:rPr>
          <w:rFonts w:cs="Palatino Linotype"/>
          <w:b/>
          <w:bCs/>
        </w:rPr>
      </w:pPr>
      <w:r w:rsidRPr="00D67BD7">
        <w:rPr>
          <w:rFonts w:cs="Palatino Linotype"/>
          <w:b/>
          <w:bCs/>
        </w:rPr>
        <w:t xml:space="preserve">A </w:t>
      </w:r>
      <w:r w:rsidRPr="00D67BD7">
        <w:rPr>
          <w:rFonts w:cs="Palatino Linotype"/>
          <w:b/>
          <w:bCs/>
        </w:rPr>
        <w:tab/>
        <w:t>INTRÅNGSMÅL</w:t>
      </w:r>
      <w:r>
        <w:rPr>
          <w:rFonts w:cs="Palatino Linotype"/>
          <w:b/>
          <w:bCs/>
        </w:rPr>
        <w:t xml:space="preserve"> I SVERIGE - EN BÄTTRE RÄTTSORDNING KRÄVS</w:t>
      </w:r>
    </w:p>
    <w:p w:rsidR="00B83B94" w:rsidRDefault="00B83B94" w:rsidP="00B83B94">
      <w:pPr>
        <w:widowControl w:val="0"/>
        <w:autoSpaceDE w:val="0"/>
        <w:autoSpaceDN w:val="0"/>
        <w:adjustRightInd w:val="0"/>
        <w:rPr>
          <w:rFonts w:ascii="Palatino Linotype" w:hAnsi="Palatino Linotype"/>
          <w:sz w:val="20"/>
          <w:szCs w:val="20"/>
        </w:rPr>
      </w:pPr>
      <w:r w:rsidRPr="00B83B94">
        <w:rPr>
          <w:rFonts w:ascii="Palatino Linotype" w:hAnsi="Palatino Linotype" w:cs="Palatino Linotype"/>
          <w:bCs/>
          <w:sz w:val="20"/>
          <w:szCs w:val="20"/>
        </w:rPr>
        <w:t>-</w:t>
      </w:r>
      <w:r w:rsidRPr="00B83B94">
        <w:rPr>
          <w:rFonts w:ascii="Palatino Linotype" w:hAnsi="Palatino Linotype" w:cs="Palatino Linotype"/>
          <w:bCs/>
          <w:sz w:val="20"/>
          <w:szCs w:val="20"/>
        </w:rPr>
        <w:tab/>
        <w:t xml:space="preserve">Risken för att hamna i en tvist angående intrång i patenträttigheter är stor. Risken ökar naturligtvis med affärsidéns potential. </w:t>
      </w:r>
      <w:r w:rsidRPr="00B83B94">
        <w:rPr>
          <w:rFonts w:ascii="Palatino Linotype" w:hAnsi="Palatino Linotype"/>
          <w:sz w:val="20"/>
          <w:szCs w:val="20"/>
        </w:rPr>
        <w:t xml:space="preserve">Statsmakterna bör vidta åtgärder för att eliminera problemet med den dyrbara och långsamma behandlingen av intrångsmål i Sverige. Den stora skillnaden gäller i synnerhet, när man jämför Sverige och Tyskland. I civilrättsliga tvister har alltid den kapitalsvage </w:t>
      </w:r>
    </w:p>
    <w:p w:rsidR="00B83B94" w:rsidRDefault="00B83B94" w:rsidP="00B83B94">
      <w:pPr>
        <w:widowControl w:val="0"/>
        <w:autoSpaceDE w:val="0"/>
        <w:autoSpaceDN w:val="0"/>
        <w:adjustRightInd w:val="0"/>
        <w:rPr>
          <w:rFonts w:ascii="Palatino Linotype" w:hAnsi="Palatino Linotype"/>
          <w:sz w:val="20"/>
          <w:szCs w:val="20"/>
        </w:rPr>
      </w:pPr>
    </w:p>
    <w:p w:rsidR="00B83B94" w:rsidRDefault="00B83B94" w:rsidP="00B83B94">
      <w:pPr>
        <w:widowControl w:val="0"/>
        <w:autoSpaceDE w:val="0"/>
        <w:autoSpaceDN w:val="0"/>
        <w:adjustRightInd w:val="0"/>
        <w:rPr>
          <w:rFonts w:ascii="Palatino Linotype" w:hAnsi="Palatino Linotype"/>
          <w:sz w:val="20"/>
          <w:szCs w:val="20"/>
        </w:rPr>
      </w:pPr>
    </w:p>
    <w:p w:rsidR="00B83B94" w:rsidRPr="00B83B94" w:rsidRDefault="00B83B94" w:rsidP="00B83B94">
      <w:pPr>
        <w:widowControl w:val="0"/>
        <w:autoSpaceDE w:val="0"/>
        <w:autoSpaceDN w:val="0"/>
        <w:adjustRightInd w:val="0"/>
        <w:rPr>
          <w:rFonts w:ascii="Palatino Linotype" w:hAnsi="Palatino Linotype" w:cs="Palatino Linotype"/>
          <w:bCs/>
          <w:sz w:val="20"/>
          <w:szCs w:val="20"/>
        </w:rPr>
      </w:pPr>
      <w:r w:rsidRPr="00B83B94">
        <w:rPr>
          <w:rFonts w:ascii="Palatino Linotype" w:hAnsi="Palatino Linotype"/>
          <w:sz w:val="20"/>
          <w:szCs w:val="20"/>
        </w:rPr>
        <w:t>parten svårt att få rätt. Detta gäller internationellt i alla immaterialrättsliga tvister. P.g.a. av den processordning, som gäller i Sverige i intrångsmål, är denna obalans förstärkt. Ett intrångsmål tar i genomsnitt 34 månader i Sverige och i Tyskland tar det nio. Vanligtvis begär svarande en bankgaranti för täckande av ev. förluster av försäljningsintäkter under processen. Det blir då praktiskt taget omöjligt för en kapitalsvag part att utkräva sin rätt. Detta strider på ett anmärkningsvärt vis mot den politiska strävan att stimulera innovationsaktiviteter hos enskilda och kapitalsvaga start-up-företag. För dessa är dagens processordning inte rättssäker. Se den utredning Ratio just genomfört</w:t>
      </w:r>
      <w:r w:rsidRPr="00B83B94">
        <w:rPr>
          <w:rStyle w:val="Fotnotsreferens"/>
          <w:rFonts w:ascii="Palatino Linotype" w:hAnsi="Palatino Linotype"/>
          <w:sz w:val="20"/>
          <w:szCs w:val="20"/>
        </w:rPr>
        <w:footnoteReference w:id="2"/>
      </w:r>
      <w:r w:rsidRPr="00B83B94">
        <w:rPr>
          <w:rFonts w:ascii="Palatino Linotype" w:hAnsi="Palatino Linotype"/>
          <w:sz w:val="20"/>
          <w:szCs w:val="20"/>
        </w:rPr>
        <w:t>.</w:t>
      </w:r>
    </w:p>
    <w:p w:rsidR="00B83B94" w:rsidRPr="00D42B0A" w:rsidRDefault="00B83B94" w:rsidP="00B83B94">
      <w:pPr>
        <w:rPr>
          <w:sz w:val="20"/>
          <w:szCs w:val="20"/>
        </w:rPr>
      </w:pPr>
    </w:p>
    <w:p w:rsidR="00B83B94" w:rsidRPr="007A1422" w:rsidRDefault="00B83B94" w:rsidP="00B83B94">
      <w:pPr>
        <w:ind w:left="1304" w:hanging="1304"/>
        <w:rPr>
          <w:sz w:val="20"/>
          <w:szCs w:val="20"/>
        </w:rPr>
      </w:pPr>
      <w:r w:rsidRPr="00D67BD7">
        <w:rPr>
          <w:b/>
        </w:rPr>
        <w:t>B</w:t>
      </w:r>
      <w:r w:rsidRPr="00D67BD7">
        <w:rPr>
          <w:b/>
        </w:rPr>
        <w:tab/>
        <w:t>UTREDNINGAR</w:t>
      </w:r>
      <w:r>
        <w:rPr>
          <w:b/>
        </w:rPr>
        <w:t>,</w:t>
      </w:r>
      <w:r w:rsidRPr="00D67BD7">
        <w:rPr>
          <w:b/>
        </w:rPr>
        <w:t xml:space="preserve"> SOM BÖR INITIERAS FÖR ATT SKAFFA UNDERLAG TILL BÄTTRE RÄTTSORDNING</w:t>
      </w:r>
    </w:p>
    <w:p w:rsidR="00B83B94" w:rsidRPr="00B83B94" w:rsidRDefault="00B83B94" w:rsidP="00B83B94">
      <w:pPr>
        <w:widowControl w:val="0"/>
        <w:autoSpaceDE w:val="0"/>
        <w:autoSpaceDN w:val="0"/>
        <w:adjustRightInd w:val="0"/>
        <w:rPr>
          <w:rFonts w:ascii="Palatino Linotype" w:hAnsi="Palatino Linotype" w:cs="Palatino Linotype"/>
          <w:sz w:val="20"/>
          <w:szCs w:val="20"/>
        </w:rPr>
      </w:pPr>
      <w:r w:rsidRPr="00D42B0A">
        <w:rPr>
          <w:rFonts w:cs="Palatino Linotype"/>
          <w:sz w:val="20"/>
          <w:szCs w:val="20"/>
        </w:rPr>
        <w:t>-</w:t>
      </w:r>
      <w:r w:rsidRPr="00D42B0A">
        <w:rPr>
          <w:rFonts w:cs="Palatino Linotype"/>
          <w:sz w:val="20"/>
          <w:szCs w:val="20"/>
        </w:rPr>
        <w:tab/>
      </w:r>
      <w:r w:rsidRPr="00B83B94">
        <w:rPr>
          <w:rFonts w:ascii="Palatino Linotype" w:hAnsi="Palatino Linotype" w:cs="Palatino Linotype"/>
          <w:sz w:val="20"/>
          <w:szCs w:val="20"/>
        </w:rPr>
        <w:t xml:space="preserve">Kunskapsläget om nyttan av immaterialrättsligt skydd för kapitalsvaga företag och uppfinnare är svagt. Statsmakterna bör bl.a. snarast skaffa bättre underlag om hur olika svenska företag och uppfinnares rättigheter kränks i världen. Dessutom bör man naturligtvis studera vilka värden, som genereras. Vinnova initierade en utredning om patentintrång i USA år 2005 - </w:t>
      </w:r>
      <w:r w:rsidRPr="00B83B94">
        <w:rPr>
          <w:rFonts w:ascii="Palatino Linotype" w:hAnsi="Palatino Linotype" w:cs="Palatino Linotype"/>
          <w:i/>
          <w:iCs/>
          <w:sz w:val="20"/>
          <w:szCs w:val="20"/>
        </w:rPr>
        <w:t>Protection of Swedish Intellectual Property in the US (PSIPUS)</w:t>
      </w:r>
      <w:r w:rsidRPr="00B83B94">
        <w:rPr>
          <w:rFonts w:ascii="Palatino Linotype" w:hAnsi="Palatino Linotype" w:cs="Palatino Linotype"/>
          <w:sz w:val="20"/>
          <w:szCs w:val="20"/>
        </w:rPr>
        <w:t>. Den avbröts.</w:t>
      </w:r>
    </w:p>
    <w:p w:rsidR="00B83B94" w:rsidRPr="00B83B94" w:rsidRDefault="00B83B94" w:rsidP="00B83B94">
      <w:pPr>
        <w:widowControl w:val="0"/>
        <w:autoSpaceDE w:val="0"/>
        <w:autoSpaceDN w:val="0"/>
        <w:adjustRightInd w:val="0"/>
        <w:rPr>
          <w:rFonts w:ascii="Palatino Linotype" w:hAnsi="Palatino Linotype" w:cs="Palatino Linotype"/>
          <w:sz w:val="20"/>
          <w:szCs w:val="20"/>
        </w:rPr>
      </w:pPr>
      <w:r w:rsidRPr="00B83B94">
        <w:rPr>
          <w:rFonts w:ascii="Palatino Linotype" w:hAnsi="Palatino Linotype" w:cs="Palatino Linotype"/>
          <w:sz w:val="20"/>
          <w:szCs w:val="20"/>
        </w:rPr>
        <w:t>-</w:t>
      </w:r>
      <w:r w:rsidRPr="00B83B94">
        <w:rPr>
          <w:rFonts w:ascii="Palatino Linotype" w:hAnsi="Palatino Linotype" w:cs="Palatino Linotype"/>
          <w:sz w:val="20"/>
          <w:szCs w:val="20"/>
        </w:rPr>
        <w:tab/>
        <w:t>Statsmakterna bör, via EU eller på annat vis, assistera svenska företag och uppfinnare som råkar ut för immaterialrättsligt intrång i tredje land exempelvis i USA, Japan, Kina? Refererande till </w:t>
      </w:r>
      <w:hyperlink r:id="rId9" w:history="1">
        <w:r w:rsidRPr="00B83B94">
          <w:rPr>
            <w:rFonts w:ascii="Palatino Linotype" w:hAnsi="Palatino Linotype" w:cs="Palatino Linotype"/>
            <w:color w:val="386EFF"/>
            <w:sz w:val="20"/>
            <w:szCs w:val="20"/>
            <w:u w:val="single" w:color="386EFF"/>
          </w:rPr>
          <w:t>Kingston-studien</w:t>
        </w:r>
      </w:hyperlink>
      <w:r w:rsidRPr="00B83B94">
        <w:rPr>
          <w:rFonts w:ascii="Palatino Linotype" w:hAnsi="Palatino Linotype" w:cs="Palatino Linotype"/>
          <w:sz w:val="20"/>
          <w:szCs w:val="20"/>
        </w:rPr>
        <w:t>, som genomfördes på uppdrag av europeiska kommissionen år 2000, som visade att 600 europeiska företag hamnat i tvister av mer eller mindre allvarlig art i USA.  Detta var 100% av de tillfrågade teknikledande start-up-företagen. Det svenska välkända fallet är naturligtvis Håkan Lans och han är inte ensam. De federala myndigheterna stödjer, enligt uppgift, amerikanska företag och enskilda, som utsatts för intrång i utlandet mycket aktivt.</w:t>
      </w:r>
    </w:p>
    <w:p w:rsidR="00B83B94" w:rsidRPr="00B83B94" w:rsidRDefault="00B83B94" w:rsidP="00B83B94">
      <w:pPr>
        <w:widowControl w:val="0"/>
        <w:autoSpaceDE w:val="0"/>
        <w:autoSpaceDN w:val="0"/>
        <w:adjustRightInd w:val="0"/>
        <w:rPr>
          <w:rFonts w:ascii="Palatino Linotype" w:hAnsi="Palatino Linotype" w:cs="Palatino Linotype"/>
          <w:bCs/>
          <w:sz w:val="20"/>
          <w:szCs w:val="20"/>
        </w:rPr>
      </w:pPr>
      <w:r w:rsidRPr="00B83B94">
        <w:rPr>
          <w:rFonts w:ascii="Palatino Linotype" w:hAnsi="Palatino Linotype" w:cs="Palatino Linotype"/>
          <w:bCs/>
          <w:sz w:val="20"/>
          <w:szCs w:val="20"/>
        </w:rPr>
        <w:t>-</w:t>
      </w:r>
      <w:r w:rsidRPr="00B83B94">
        <w:rPr>
          <w:rFonts w:ascii="Palatino Linotype" w:hAnsi="Palatino Linotype" w:cs="Palatino Linotype"/>
          <w:bCs/>
          <w:sz w:val="20"/>
          <w:szCs w:val="20"/>
        </w:rPr>
        <w:tab/>
        <w:t xml:space="preserve">För att öka tryggheten och riskbenägenheten för uppfinnare och mindre företag bör någon form av försäkringslösning, eventuellt med en statlig garanti utredas, som tillämpas vid tvister om intrång. Detta ingick i socialdemokraternas näringspolitiska program 2013. Franska staten har via </w:t>
      </w:r>
      <w:hyperlink r:id="rId10" w:history="1">
        <w:r w:rsidRPr="00B83B94">
          <w:rPr>
            <w:rStyle w:val="Hyperlnk"/>
            <w:rFonts w:ascii="Palatino Linotype" w:hAnsi="Palatino Linotype" w:cs="Palatino Linotype"/>
            <w:bCs/>
            <w:sz w:val="20"/>
            <w:szCs w:val="20"/>
          </w:rPr>
          <w:t>France Brevets</w:t>
        </w:r>
      </w:hyperlink>
      <w:r w:rsidRPr="00B83B94">
        <w:rPr>
          <w:rFonts w:ascii="Palatino Linotype" w:hAnsi="Palatino Linotype" w:cs="Palatino Linotype"/>
          <w:bCs/>
          <w:sz w:val="20"/>
          <w:szCs w:val="20"/>
        </w:rPr>
        <w:t xml:space="preserve"> investerat € 100 miljoner i ett statligt patentbolag för att lösa detta problem.</w:t>
      </w:r>
    </w:p>
    <w:p w:rsidR="00B83B94" w:rsidRPr="00B83B94" w:rsidRDefault="00B83B94" w:rsidP="00B83B94">
      <w:pPr>
        <w:pStyle w:val="Normalwebb"/>
        <w:rPr>
          <w:rFonts w:ascii="Palatino Linotype" w:hAnsi="Palatino Linotype"/>
          <w:i/>
          <w:sz w:val="20"/>
          <w:szCs w:val="20"/>
        </w:rPr>
      </w:pPr>
      <w:r w:rsidRPr="00B83B94">
        <w:rPr>
          <w:rFonts w:ascii="Palatino Linotype" w:hAnsi="Palatino Linotype" w:cs="Palatino Linotype"/>
          <w:sz w:val="20"/>
          <w:szCs w:val="20"/>
        </w:rPr>
        <w:t>-</w:t>
      </w:r>
      <w:r w:rsidRPr="00B83B94">
        <w:rPr>
          <w:rFonts w:ascii="Palatino Linotype" w:hAnsi="Palatino Linotype" w:cs="Palatino Linotype"/>
          <w:sz w:val="20"/>
          <w:szCs w:val="20"/>
        </w:rPr>
        <w:tab/>
        <w:t>Patentintrång är en form av ekonomisk brottslighet, som bör falla under allmänt åtal, utan krav på särskilda skäl och behandlas som ett brottmål. Den utredning</w:t>
      </w:r>
      <w:r w:rsidRPr="00B83B94">
        <w:rPr>
          <w:rStyle w:val="Fotnotsreferens"/>
          <w:rFonts w:ascii="Palatino Linotype" w:hAnsi="Palatino Linotype" w:cs="Palatino Linotype"/>
          <w:sz w:val="20"/>
          <w:szCs w:val="20"/>
        </w:rPr>
        <w:footnoteReference w:id="3"/>
      </w:r>
      <w:r w:rsidRPr="00B83B94">
        <w:rPr>
          <w:rFonts w:ascii="Palatino Linotype" w:hAnsi="Palatino Linotype" w:cs="Palatino Linotype"/>
          <w:sz w:val="20"/>
          <w:szCs w:val="20"/>
        </w:rPr>
        <w:t xml:space="preserve"> som genomförts på Uppsala Universitet 2015 bör följas upp. Ett citat </w:t>
      </w:r>
      <w:r w:rsidRPr="00B83B94">
        <w:rPr>
          <w:rFonts w:ascii="Palatino Linotype" w:hAnsi="Palatino Linotype"/>
          <w:i/>
          <w:sz w:val="20"/>
          <w:szCs w:val="20"/>
        </w:rPr>
        <w:t xml:space="preserve">Och från ett samhälleligt perspektiv är det tydligt att kriminalisering av immaterialrättsintrång är nödvändigt för att tydligt signalera att samhället inte accepterar verksamhet baserad på plagiering och förfalskningar. </w:t>
      </w:r>
      <w:r w:rsidRPr="00B83B94">
        <w:rPr>
          <w:rFonts w:ascii="Palatino Linotype" w:hAnsi="Palatino Linotype"/>
          <w:sz w:val="20"/>
          <w:szCs w:val="20"/>
        </w:rPr>
        <w:t>Sid 41</w:t>
      </w:r>
    </w:p>
    <w:p w:rsidR="00B83B94" w:rsidRDefault="00B83B94">
      <w:pPr>
        <w:rPr>
          <w:rFonts w:ascii="Palatino Linotype" w:hAnsi="Palatino Linotype" w:cs="Palatino Linotype"/>
          <w:bCs/>
          <w:sz w:val="20"/>
          <w:szCs w:val="20"/>
        </w:rPr>
      </w:pPr>
      <w:r>
        <w:rPr>
          <w:rFonts w:ascii="Palatino Linotype" w:hAnsi="Palatino Linotype" w:cs="Palatino Linotype"/>
          <w:bCs/>
          <w:sz w:val="20"/>
          <w:szCs w:val="20"/>
        </w:rPr>
        <w:br w:type="page"/>
      </w:r>
    </w:p>
    <w:p w:rsidR="00B83B94" w:rsidRDefault="00B83B94" w:rsidP="00B83B94">
      <w:pPr>
        <w:widowControl w:val="0"/>
        <w:autoSpaceDE w:val="0"/>
        <w:autoSpaceDN w:val="0"/>
        <w:adjustRightInd w:val="0"/>
        <w:rPr>
          <w:rFonts w:ascii="Palatino Linotype" w:hAnsi="Palatino Linotype" w:cs="Palatino Linotype"/>
          <w:bCs/>
          <w:sz w:val="20"/>
          <w:szCs w:val="20"/>
        </w:rPr>
      </w:pPr>
    </w:p>
    <w:p w:rsidR="00B83B94" w:rsidRPr="00B83B94" w:rsidRDefault="00B83B94" w:rsidP="00B83B94">
      <w:pPr>
        <w:widowControl w:val="0"/>
        <w:autoSpaceDE w:val="0"/>
        <w:autoSpaceDN w:val="0"/>
        <w:adjustRightInd w:val="0"/>
        <w:rPr>
          <w:rFonts w:ascii="Palatino Linotype" w:hAnsi="Palatino Linotype" w:cs="Palatino Linotype"/>
          <w:bCs/>
          <w:sz w:val="20"/>
          <w:szCs w:val="20"/>
        </w:rPr>
      </w:pPr>
      <w:r w:rsidRPr="00B83B94">
        <w:rPr>
          <w:rFonts w:ascii="Palatino Linotype" w:hAnsi="Palatino Linotype" w:cs="Palatino Linotype"/>
          <w:bCs/>
          <w:sz w:val="20"/>
          <w:szCs w:val="20"/>
        </w:rPr>
        <w:t>Några ytterligare frågor:</w:t>
      </w:r>
    </w:p>
    <w:p w:rsidR="00B83B94" w:rsidRPr="00B83B94" w:rsidRDefault="00B83B94" w:rsidP="00B83B94">
      <w:pPr>
        <w:widowControl w:val="0"/>
        <w:numPr>
          <w:ilvl w:val="0"/>
          <w:numId w:val="2"/>
        </w:numPr>
        <w:autoSpaceDE w:val="0"/>
        <w:autoSpaceDN w:val="0"/>
        <w:adjustRightInd w:val="0"/>
        <w:spacing w:after="0" w:line="240" w:lineRule="auto"/>
        <w:rPr>
          <w:rFonts w:ascii="Palatino Linotype" w:hAnsi="Palatino Linotype" w:cs="Palatino Linotype"/>
          <w:bCs/>
          <w:sz w:val="20"/>
          <w:szCs w:val="20"/>
        </w:rPr>
      </w:pPr>
      <w:r w:rsidRPr="00B83B94">
        <w:rPr>
          <w:rFonts w:ascii="Palatino Linotype" w:hAnsi="Palatino Linotype" w:cs="Palatino Linotype"/>
          <w:bCs/>
          <w:sz w:val="20"/>
          <w:szCs w:val="20"/>
        </w:rPr>
        <w:t xml:space="preserve">Finns rätt licensieringskompetens hos rådgivarna - både de offentliga och privata? </w:t>
      </w:r>
    </w:p>
    <w:p w:rsidR="00B83B94" w:rsidRPr="00B83B94" w:rsidRDefault="00B83B94" w:rsidP="00B83B94">
      <w:pPr>
        <w:widowControl w:val="0"/>
        <w:numPr>
          <w:ilvl w:val="0"/>
          <w:numId w:val="2"/>
        </w:numPr>
        <w:autoSpaceDE w:val="0"/>
        <w:autoSpaceDN w:val="0"/>
        <w:adjustRightInd w:val="0"/>
        <w:spacing w:after="0" w:line="240" w:lineRule="auto"/>
        <w:rPr>
          <w:rFonts w:ascii="Palatino Linotype" w:hAnsi="Palatino Linotype" w:cs="Palatino Linotype"/>
          <w:b/>
          <w:sz w:val="20"/>
          <w:szCs w:val="20"/>
        </w:rPr>
      </w:pPr>
      <w:r w:rsidRPr="00B83B94">
        <w:rPr>
          <w:rFonts w:ascii="Palatino Linotype" w:hAnsi="Palatino Linotype" w:cs="Palatino Linotype"/>
          <w:sz w:val="20"/>
          <w:szCs w:val="20"/>
        </w:rPr>
        <w:t>Vilken effekt kommer patentboxar</w:t>
      </w:r>
      <w:r w:rsidRPr="00B83B94">
        <w:rPr>
          <w:rStyle w:val="Fotnotsreferens"/>
          <w:rFonts w:ascii="Palatino Linotype" w:hAnsi="Palatino Linotype" w:cs="Palatino Linotype"/>
          <w:sz w:val="20"/>
          <w:szCs w:val="20"/>
        </w:rPr>
        <w:footnoteReference w:id="4"/>
      </w:r>
      <w:r w:rsidRPr="00B83B94">
        <w:rPr>
          <w:rFonts w:ascii="Palatino Linotype" w:hAnsi="Palatino Linotype" w:cs="Palatino Linotype"/>
          <w:sz w:val="20"/>
          <w:szCs w:val="20"/>
        </w:rPr>
        <w:t xml:space="preserve"> att få på svensk innovationspolitik? Patentbox innebär att företag, som innehar immateriella rättigheter får betala en lägre skatt (ca hälften) för vinster, som uppkommer tack vare de skyddade produkterna.</w:t>
      </w:r>
    </w:p>
    <w:p w:rsidR="00B83B94" w:rsidRPr="00B83B94" w:rsidRDefault="00B83B94" w:rsidP="00B83B94">
      <w:pPr>
        <w:widowControl w:val="0"/>
        <w:numPr>
          <w:ilvl w:val="0"/>
          <w:numId w:val="2"/>
        </w:numPr>
        <w:autoSpaceDE w:val="0"/>
        <w:autoSpaceDN w:val="0"/>
        <w:adjustRightInd w:val="0"/>
        <w:spacing w:after="0" w:line="240" w:lineRule="auto"/>
        <w:rPr>
          <w:rFonts w:ascii="Palatino Linotype" w:hAnsi="Palatino Linotype" w:cs="Palatino Linotype"/>
          <w:b/>
          <w:sz w:val="20"/>
          <w:szCs w:val="20"/>
        </w:rPr>
      </w:pPr>
      <w:r w:rsidRPr="00B83B94">
        <w:rPr>
          <w:rFonts w:ascii="Palatino Linotype" w:hAnsi="Palatino Linotype" w:cs="Palatino Linotype"/>
          <w:sz w:val="20"/>
          <w:szCs w:val="20"/>
        </w:rPr>
        <w:t xml:space="preserve">Vilka problem upplever de etablerade forskningsintensiva företagen med dagens rättssystem? </w:t>
      </w:r>
    </w:p>
    <w:p w:rsidR="00B83B94" w:rsidRPr="00B83B94" w:rsidRDefault="00B83B94" w:rsidP="00B83B94">
      <w:pPr>
        <w:widowControl w:val="0"/>
        <w:numPr>
          <w:ilvl w:val="0"/>
          <w:numId w:val="2"/>
        </w:numPr>
        <w:autoSpaceDE w:val="0"/>
        <w:autoSpaceDN w:val="0"/>
        <w:adjustRightInd w:val="0"/>
        <w:spacing w:after="0" w:line="240" w:lineRule="auto"/>
        <w:rPr>
          <w:rFonts w:ascii="Palatino Linotype" w:hAnsi="Palatino Linotype" w:cs="Palatino Linotype"/>
          <w:b/>
          <w:sz w:val="20"/>
          <w:szCs w:val="20"/>
        </w:rPr>
      </w:pPr>
      <w:r w:rsidRPr="00B83B94">
        <w:rPr>
          <w:rFonts w:ascii="Palatino Linotype" w:hAnsi="Palatino Linotype" w:cs="Palatino Linotype"/>
          <w:sz w:val="20"/>
          <w:szCs w:val="20"/>
        </w:rPr>
        <w:t>Vilka effekter kommer handelsavtalet TTIP att få inom immaterialrätten?</w:t>
      </w:r>
    </w:p>
    <w:p w:rsidR="00B83B94" w:rsidRDefault="00B83B94" w:rsidP="00B83B94">
      <w:pPr>
        <w:rPr>
          <w:rFonts w:cs="Palatino Linotype"/>
          <w:b/>
          <w:sz w:val="20"/>
          <w:szCs w:val="20"/>
        </w:rPr>
      </w:pPr>
    </w:p>
    <w:p w:rsidR="00B83B94" w:rsidRPr="00D67BD7" w:rsidRDefault="00B83B94" w:rsidP="00B83B94">
      <w:pPr>
        <w:rPr>
          <w:b/>
        </w:rPr>
      </w:pPr>
      <w:r w:rsidRPr="007A1422">
        <w:rPr>
          <w:rFonts w:cs="Palatino Linotype"/>
          <w:b/>
          <w:sz w:val="20"/>
          <w:szCs w:val="20"/>
        </w:rPr>
        <w:t xml:space="preserve">C </w:t>
      </w:r>
      <w:r>
        <w:rPr>
          <w:rFonts w:cs="Palatino Linotype"/>
          <w:b/>
          <w:sz w:val="20"/>
          <w:szCs w:val="20"/>
        </w:rPr>
        <w:tab/>
      </w:r>
      <w:r w:rsidRPr="00D67BD7">
        <w:rPr>
          <w:b/>
        </w:rPr>
        <w:t>RÅDGIVNING</w:t>
      </w:r>
    </w:p>
    <w:p w:rsidR="00B83B94" w:rsidRPr="00B83B94" w:rsidRDefault="00B83B94" w:rsidP="00B83B94">
      <w:pPr>
        <w:widowControl w:val="0"/>
        <w:autoSpaceDE w:val="0"/>
        <w:autoSpaceDN w:val="0"/>
        <w:adjustRightInd w:val="0"/>
        <w:rPr>
          <w:rFonts w:ascii="Palatino Linotype" w:hAnsi="Palatino Linotype" w:cs="Palatino Linotype"/>
          <w:sz w:val="20"/>
          <w:szCs w:val="20"/>
        </w:rPr>
      </w:pPr>
      <w:r w:rsidRPr="00B83B94">
        <w:rPr>
          <w:rFonts w:ascii="Palatino Linotype" w:hAnsi="Palatino Linotype" w:cs="Palatino Linotype"/>
          <w:sz w:val="20"/>
          <w:szCs w:val="20"/>
        </w:rPr>
        <w:t>-</w:t>
      </w:r>
      <w:r w:rsidRPr="00B83B94">
        <w:rPr>
          <w:rFonts w:ascii="Palatino Linotype" w:hAnsi="Palatino Linotype" w:cs="Palatino Linotype"/>
          <w:sz w:val="20"/>
          <w:szCs w:val="20"/>
        </w:rPr>
        <w:tab/>
        <w:t xml:space="preserve">Efter ca 40 års förhandlande har </w:t>
      </w:r>
      <w:r w:rsidRPr="00B83B94">
        <w:rPr>
          <w:rFonts w:ascii="Palatino Linotype" w:hAnsi="Palatino Linotype" w:cs="Palatino Linotype"/>
          <w:bCs/>
          <w:i/>
          <w:sz w:val="20"/>
          <w:szCs w:val="20"/>
        </w:rPr>
        <w:t>European patent with unitary effect</w:t>
      </w:r>
      <w:r w:rsidRPr="00B83B94">
        <w:rPr>
          <w:rFonts w:ascii="Palatino Linotype" w:hAnsi="Palatino Linotype" w:cs="Palatino Linotype"/>
          <w:i/>
          <w:sz w:val="20"/>
          <w:szCs w:val="20"/>
        </w:rPr>
        <w:t xml:space="preserve"> (</w:t>
      </w:r>
      <w:r w:rsidRPr="00B83B94">
        <w:rPr>
          <w:rFonts w:ascii="Palatino Linotype" w:hAnsi="Palatino Linotype" w:cs="Palatino Linotype"/>
          <w:bCs/>
          <w:i/>
          <w:sz w:val="20"/>
          <w:szCs w:val="20"/>
        </w:rPr>
        <w:t>EPUE</w:t>
      </w:r>
      <w:r w:rsidRPr="00B83B94">
        <w:rPr>
          <w:rFonts w:ascii="Palatino Linotype" w:hAnsi="Palatino Linotype" w:cs="Palatino Linotype"/>
          <w:i/>
          <w:sz w:val="20"/>
          <w:szCs w:val="20"/>
        </w:rPr>
        <w:t>)</w:t>
      </w:r>
      <w:r w:rsidRPr="00B83B94">
        <w:rPr>
          <w:rFonts w:ascii="Palatino Linotype" w:hAnsi="Palatino Linotype" w:cs="Palatino Linotype"/>
          <w:sz w:val="20"/>
          <w:szCs w:val="20"/>
        </w:rPr>
        <w:t xml:space="preserve"> införts. Inom några år kommer också det gemensamma domstolsväsendet </w:t>
      </w:r>
      <w:r w:rsidRPr="00B83B94">
        <w:rPr>
          <w:rFonts w:ascii="Palatino Linotype" w:hAnsi="Palatino Linotype" w:cs="Palatino Linotype"/>
          <w:i/>
          <w:sz w:val="20"/>
          <w:szCs w:val="20"/>
        </w:rPr>
        <w:t>Unitary Patent Court (UPC)</w:t>
      </w:r>
      <w:r w:rsidRPr="00B83B94">
        <w:rPr>
          <w:rFonts w:ascii="Palatino Linotype" w:hAnsi="Palatino Linotype" w:cs="Palatino Linotype"/>
          <w:sz w:val="20"/>
          <w:szCs w:val="20"/>
        </w:rPr>
        <w:t xml:space="preserve"> att införas succesivt. Ratificeringen är ännu inte klar. Båda systemen har syftat till att sänka kostnaderna för ett gott patentskydd. Detta ser också ut att lyckas, men enbart för de större aktörerna. För mindre företag och uppfinnare, som enbart söker skydd i ett begränsat antal länder, har kostnaderna i vissa avseende höjts väsentligt exempelvis för upprätthållande av patent. Detta kommer att få avgörande konsekvenser för svenska aktörer. Frågan är bara vilka? De omfattande förändringar av patentsystemet, som, när de genomförs, kommer också att kräva studier och utbildningsinsatser</w:t>
      </w:r>
    </w:p>
    <w:p w:rsidR="00B83B94" w:rsidRPr="00B83B94" w:rsidRDefault="00B83B94" w:rsidP="00B83B94">
      <w:pPr>
        <w:rPr>
          <w:rFonts w:ascii="Palatino Linotype" w:hAnsi="Palatino Linotype"/>
          <w:sz w:val="20"/>
          <w:szCs w:val="20"/>
        </w:rPr>
      </w:pPr>
      <w:r w:rsidRPr="00B83B94">
        <w:rPr>
          <w:rFonts w:ascii="Palatino Linotype" w:hAnsi="Palatino Linotype"/>
          <w:sz w:val="20"/>
          <w:szCs w:val="20"/>
        </w:rPr>
        <w:t>-</w:t>
      </w:r>
      <w:r w:rsidRPr="00B83B94">
        <w:rPr>
          <w:rFonts w:ascii="Palatino Linotype" w:hAnsi="Palatino Linotype"/>
          <w:sz w:val="20"/>
          <w:szCs w:val="20"/>
        </w:rPr>
        <w:tab/>
        <w:t>Översyn av den affärsstrategisk rådgivning, som idag ges till mindre företag. Stödet administreras av Vinnova. Enskilda eller företag utan anställda kan idag inte få något stöd. Det krävs att företaget har tre anställda.</w:t>
      </w:r>
    </w:p>
    <w:p w:rsidR="008F645A" w:rsidRPr="00B83B94" w:rsidRDefault="00B83B94" w:rsidP="00B83B94">
      <w:pPr>
        <w:widowControl w:val="0"/>
        <w:autoSpaceDE w:val="0"/>
        <w:autoSpaceDN w:val="0"/>
        <w:adjustRightInd w:val="0"/>
        <w:rPr>
          <w:rFonts w:ascii="Palatino Linotype" w:hAnsi="Palatino Linotype" w:cs="Palatino Linotype"/>
          <w:sz w:val="20"/>
          <w:szCs w:val="20"/>
        </w:rPr>
      </w:pPr>
      <w:r w:rsidRPr="00B83B94">
        <w:rPr>
          <w:rFonts w:ascii="Palatino Linotype" w:hAnsi="Palatino Linotype" w:cs="Palatino Linotype"/>
          <w:sz w:val="20"/>
          <w:szCs w:val="20"/>
        </w:rPr>
        <w:t>-</w:t>
      </w:r>
      <w:r w:rsidRPr="00B83B94">
        <w:rPr>
          <w:rFonts w:ascii="Palatino Linotype" w:hAnsi="Palatino Linotype" w:cs="Palatino Linotype"/>
          <w:sz w:val="20"/>
          <w:szCs w:val="20"/>
        </w:rPr>
        <w:tab/>
        <w:t>Hur avser PRV/Vinnova att nå alla start-up-företag och uppfinnare, som inte ingår i Vinnova, Almi, lärosätenas och inkubatorernas krets? Detta torde vara flertalet.</w:t>
      </w:r>
    </w:p>
    <w:sectPr w:rsidR="008F645A" w:rsidRPr="00B83B94" w:rsidSect="00FC5E25">
      <w:headerReference w:type="default" r:id="rId11"/>
      <w:footerReference w:type="default" r:id="rId12"/>
      <w:type w:val="continuous"/>
      <w:pgSz w:w="11906" w:h="16838" w:code="9"/>
      <w:pgMar w:top="23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A9" w:rsidRDefault="00D13BA9" w:rsidP="00EA1B31">
      <w:pPr>
        <w:spacing w:after="0" w:line="240" w:lineRule="auto"/>
      </w:pPr>
      <w:r>
        <w:separator/>
      </w:r>
    </w:p>
  </w:endnote>
  <w:endnote w:type="continuationSeparator" w:id="0">
    <w:p w:rsidR="00D13BA9" w:rsidRDefault="00D13BA9" w:rsidP="00EA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28" w:rsidRDefault="005D5C28" w:rsidP="005D5C28">
    <w:pPr>
      <w:pStyle w:val="Sidfot"/>
      <w:jc w:val="center"/>
    </w:pPr>
    <w:r>
      <w:rPr>
        <w:noProof/>
        <w:lang w:eastAsia="sv-SE"/>
      </w:rPr>
      <mc:AlternateContent>
        <mc:Choice Requires="wps">
          <w:drawing>
            <wp:anchor distT="0" distB="0" distL="114300" distR="114300" simplePos="0" relativeHeight="251660288" behindDoc="0" locked="0" layoutInCell="1" allowOverlap="1" wp14:anchorId="533A0A2F" wp14:editId="74A58988">
              <wp:simplePos x="0" y="0"/>
              <wp:positionH relativeFrom="column">
                <wp:posOffset>-823595</wp:posOffset>
              </wp:positionH>
              <wp:positionV relativeFrom="paragraph">
                <wp:posOffset>106680</wp:posOffset>
              </wp:positionV>
              <wp:extent cx="7439025" cy="0"/>
              <wp:effectExtent l="0" t="0" r="28575" b="19050"/>
              <wp:wrapNone/>
              <wp:docPr id="1" name="Rak 1"/>
              <wp:cNvGraphicFramePr/>
              <a:graphic xmlns:a="http://schemas.openxmlformats.org/drawingml/2006/main">
                <a:graphicData uri="http://schemas.microsoft.com/office/word/2010/wordprocessingShape">
                  <wps:wsp>
                    <wps:cNvCnPr/>
                    <wps:spPr>
                      <a:xfrm>
                        <a:off x="0" y="0"/>
                        <a:ext cx="7439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A37C5" id="Rak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85pt,8.4pt" to="520.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" strokecolor="#5b9bd5 [3204]" strokeweight=".5pt">
              <v:stroke joinstyle="miter"/>
            </v:line>
          </w:pict>
        </mc:Fallback>
      </mc:AlternateContent>
    </w:r>
  </w:p>
  <w:p w:rsidR="00EA1B31" w:rsidRPr="00A113E4" w:rsidRDefault="00D60B4F" w:rsidP="005D5C28">
    <w:pPr>
      <w:pStyle w:val="Sidfot"/>
      <w:jc w:val="center"/>
    </w:pPr>
    <w:r>
      <w:t>Svenska Uppfinnareföreningen</w:t>
    </w:r>
    <w:r w:rsidR="005D5C28">
      <w:t xml:space="preserve">  </w:t>
    </w:r>
    <w:r>
      <w:br/>
      <w:t>Besöksadress: Grev Turegatan 16</w:t>
    </w:r>
    <w:r w:rsidR="00906B9F">
      <w:t xml:space="preserve"> </w:t>
    </w:r>
    <w:r w:rsidR="005D5C28">
      <w:t>|</w:t>
    </w:r>
    <w:r>
      <w:t xml:space="preserve"> Postadress: Ma</w:t>
    </w:r>
    <w:r w:rsidR="00954AEF">
      <w:t>i</w:t>
    </w:r>
    <w:r>
      <w:t>lbox 512</w:t>
    </w:r>
    <w:r w:rsidR="005D5C28">
      <w:t xml:space="preserve"> </w:t>
    </w:r>
    <w:r>
      <w:t>|</w:t>
    </w:r>
    <w:r w:rsidR="00906B9F">
      <w:t xml:space="preserve"> </w:t>
    </w:r>
    <w:r w:rsidR="005D5C28">
      <w:t>11</w:t>
    </w:r>
    <w:r>
      <w:t>4 11</w:t>
    </w:r>
    <w:r w:rsidR="005D5C28">
      <w:t xml:space="preserve"> Stockholm</w:t>
    </w:r>
    <w:r>
      <w:t xml:space="preserve"> | </w:t>
    </w:r>
    <w:r w:rsidR="005D5C28" w:rsidRPr="00A113E4">
      <w:t xml:space="preserve">Tel. 08-545 164 70 </w:t>
    </w:r>
    <w:hyperlink r:id="rId1" w:history="1">
      <w:r w:rsidR="005D5C28" w:rsidRPr="00A113E4">
        <w:rPr>
          <w:rStyle w:val="Hyperlnk"/>
          <w:color w:val="auto"/>
          <w:u w:val="none"/>
        </w:rPr>
        <w:t>suf@uppfinnare.se</w:t>
      </w:r>
    </w:hyperlink>
    <w:r w:rsidR="00906B9F">
      <w:t xml:space="preserve"> | </w:t>
    </w:r>
    <w:hyperlink r:id="rId2" w:history="1">
      <w:r w:rsidR="005D5C28" w:rsidRPr="00A113E4">
        <w:rPr>
          <w:rStyle w:val="Hyperlnk"/>
          <w:color w:val="auto"/>
          <w:u w:val="none"/>
        </w:rPr>
        <w:t>www.uppfinnare.se</w:t>
      </w:r>
    </w:hyperlink>
    <w:r w:rsidR="005D5C28" w:rsidRPr="00A113E4">
      <w:t xml:space="preserve"> | </w:t>
    </w:r>
    <w:r w:rsidRPr="00D60B4F">
      <w:t>www.mentorring.se</w:t>
    </w:r>
    <w:r>
      <w:t xml:space="preserve"> | www.innovationOnline.se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A9" w:rsidRDefault="00D13BA9" w:rsidP="00EA1B31">
      <w:pPr>
        <w:spacing w:after="0" w:line="240" w:lineRule="auto"/>
      </w:pPr>
      <w:r>
        <w:separator/>
      </w:r>
    </w:p>
  </w:footnote>
  <w:footnote w:type="continuationSeparator" w:id="0">
    <w:p w:rsidR="00D13BA9" w:rsidRDefault="00D13BA9" w:rsidP="00EA1B31">
      <w:pPr>
        <w:spacing w:after="0" w:line="240" w:lineRule="auto"/>
      </w:pPr>
      <w:r>
        <w:continuationSeparator/>
      </w:r>
    </w:p>
  </w:footnote>
  <w:footnote w:id="1">
    <w:p w:rsidR="00B83B94" w:rsidRPr="00014F10" w:rsidRDefault="00B83B94" w:rsidP="00B83B94">
      <w:pPr>
        <w:pStyle w:val="Fotnotstext"/>
        <w:rPr>
          <w:sz w:val="18"/>
          <w:szCs w:val="18"/>
          <w:lang w:val="en-US"/>
        </w:rPr>
      </w:pPr>
      <w:r w:rsidRPr="00BB1BAD">
        <w:rPr>
          <w:rStyle w:val="Fotnotsreferens"/>
          <w:sz w:val="18"/>
          <w:szCs w:val="18"/>
        </w:rPr>
        <w:footnoteRef/>
      </w:r>
      <w:r w:rsidRPr="00014F10">
        <w:rPr>
          <w:sz w:val="18"/>
          <w:szCs w:val="18"/>
          <w:lang w:val="en-US"/>
        </w:rPr>
        <w:t xml:space="preserve"> </w:t>
      </w:r>
      <w:hyperlink r:id="rId1" w:history="1">
        <w:r w:rsidRPr="00BB1BAD">
          <w:rPr>
            <w:rStyle w:val="Hyperlnk"/>
            <w:sz w:val="18"/>
            <w:szCs w:val="18"/>
            <w:lang w:val="en-GB"/>
          </w:rPr>
          <w:t>Upgrading the single market, more opportunities for people and business</w:t>
        </w:r>
      </w:hyperlink>
      <w:r w:rsidRPr="00BB1BAD">
        <w:rPr>
          <w:sz w:val="18"/>
          <w:szCs w:val="18"/>
          <w:lang w:val="en-GB"/>
        </w:rPr>
        <w:t xml:space="preserve"> COM(2015)550 fina</w:t>
      </w:r>
      <w:r>
        <w:rPr>
          <w:sz w:val="18"/>
          <w:szCs w:val="18"/>
          <w:lang w:val="en-GB"/>
        </w:rPr>
        <w:t>l</w:t>
      </w:r>
    </w:p>
  </w:footnote>
  <w:footnote w:id="2">
    <w:p w:rsidR="00B83B94" w:rsidRPr="00BB1BAD" w:rsidRDefault="00B83B94" w:rsidP="00B83B94">
      <w:pPr>
        <w:pStyle w:val="Fotnotstext"/>
        <w:rPr>
          <w:sz w:val="18"/>
          <w:szCs w:val="18"/>
        </w:rPr>
      </w:pPr>
      <w:r w:rsidRPr="00BB1BAD">
        <w:rPr>
          <w:rStyle w:val="Fotnotsreferens"/>
          <w:sz w:val="18"/>
          <w:szCs w:val="18"/>
        </w:rPr>
        <w:footnoteRef/>
      </w:r>
      <w:r w:rsidRPr="00BB1BAD">
        <w:rPr>
          <w:sz w:val="18"/>
          <w:szCs w:val="18"/>
        </w:rPr>
        <w:t xml:space="preserve"> Bjuggren, P-O., Domeij, B., &amp; Horn, A. (2015</w:t>
      </w:r>
      <w:r w:rsidRPr="00014F10">
        <w:rPr>
          <w:sz w:val="18"/>
          <w:szCs w:val="18"/>
        </w:rPr>
        <w:t xml:space="preserve">). </w:t>
      </w:r>
      <w:hyperlink r:id="rId2" w:history="1">
        <w:r w:rsidRPr="00B83B94">
          <w:rPr>
            <w:rStyle w:val="Hyperlnk"/>
            <w:sz w:val="18"/>
            <w:szCs w:val="18"/>
          </w:rPr>
          <w:t>Swedish Patent Litigation in Comparison to European</w:t>
        </w:r>
      </w:hyperlink>
      <w:r w:rsidRPr="00BB1BAD">
        <w:rPr>
          <w:sz w:val="18"/>
          <w:szCs w:val="18"/>
        </w:rPr>
        <w:t>.</w:t>
      </w:r>
      <w:r w:rsidRPr="00227682">
        <w:rPr>
          <w:sz w:val="20"/>
          <w:szCs w:val="20"/>
        </w:rPr>
        <w:t xml:space="preserve"> Nordisk </w:t>
      </w:r>
      <w:r w:rsidRPr="00BB1BAD">
        <w:rPr>
          <w:sz w:val="18"/>
          <w:szCs w:val="18"/>
        </w:rPr>
        <w:t>Immateriellt Rättsskydd, 2015(5), 504-522.</w:t>
      </w:r>
    </w:p>
  </w:footnote>
  <w:footnote w:id="3">
    <w:p w:rsidR="00B83B94" w:rsidRPr="00BB1BAD" w:rsidRDefault="00B83B94" w:rsidP="00B83B94">
      <w:pPr>
        <w:pStyle w:val="Fotnotstext"/>
        <w:rPr>
          <w:sz w:val="18"/>
          <w:szCs w:val="18"/>
        </w:rPr>
      </w:pPr>
      <w:r w:rsidRPr="00BB1BAD">
        <w:rPr>
          <w:rStyle w:val="Fotnotsreferens"/>
          <w:sz w:val="18"/>
          <w:szCs w:val="18"/>
        </w:rPr>
        <w:footnoteRef/>
      </w:r>
      <w:r w:rsidRPr="00BB1BAD">
        <w:rPr>
          <w:sz w:val="18"/>
          <w:szCs w:val="18"/>
        </w:rPr>
        <w:t xml:space="preserve"> Allmänt åtal och straffrättsligt ansvar för immaterialrättsliga intrång av: </w:t>
      </w:r>
      <w:r>
        <w:rPr>
          <w:sz w:val="18"/>
          <w:szCs w:val="18"/>
        </w:rPr>
        <w:t xml:space="preserve">Stojan Arnerstål, </w:t>
      </w:r>
      <w:r w:rsidRPr="00BB1BAD">
        <w:rPr>
          <w:sz w:val="18"/>
          <w:szCs w:val="18"/>
        </w:rPr>
        <w:t>Sanna Wolk</w:t>
      </w:r>
    </w:p>
  </w:footnote>
  <w:footnote w:id="4">
    <w:p w:rsidR="00B83B94" w:rsidRPr="00B83B94" w:rsidRDefault="00B83B94" w:rsidP="00B83B94">
      <w:pPr>
        <w:pStyle w:val="Fotnotstext"/>
        <w:rPr>
          <w:sz w:val="18"/>
          <w:szCs w:val="18"/>
          <w:lang w:val="en-US"/>
        </w:rPr>
      </w:pPr>
      <w:r>
        <w:rPr>
          <w:rStyle w:val="Fotnotsreferens"/>
        </w:rPr>
        <w:footnoteRef/>
      </w:r>
      <w:r w:rsidRPr="00B83B94">
        <w:rPr>
          <w:lang w:val="en-US"/>
        </w:rPr>
        <w:t xml:space="preserve"> </w:t>
      </w:r>
      <w:r w:rsidRPr="00C5077F">
        <w:rPr>
          <w:bCs/>
          <w:sz w:val="18"/>
          <w:szCs w:val="18"/>
          <w:lang w:val="en-GB"/>
        </w:rPr>
        <w:t xml:space="preserve">Patent Boxes Design, Patents Location and Local R&amp;D </w:t>
      </w:r>
      <w:r w:rsidRPr="00C5077F">
        <w:rPr>
          <w:sz w:val="18"/>
          <w:szCs w:val="18"/>
          <w:lang w:val="en-GB"/>
        </w:rPr>
        <w:t>Annette Alstadsæter, Salvador Barrios, (European Commission, Joint Research Centre, IPTS)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31" w:rsidRDefault="001F11E2" w:rsidP="001F11E2">
    <w:pPr>
      <w:pStyle w:val="Sidhuvud"/>
      <w:ind w:left="-1417"/>
    </w:pPr>
    <w:r>
      <w:rPr>
        <w:noProof/>
        <w:lang w:eastAsia="sv-SE"/>
      </w:rPr>
      <w:drawing>
        <wp:inline distT="0" distB="0" distL="0" distR="0" wp14:anchorId="6E3C1B28" wp14:editId="12EAC2A6">
          <wp:extent cx="2571750" cy="10287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vhuvud.gif"/>
                  <pic:cNvPicPr/>
                </pic:nvPicPr>
                <pic:blipFill>
                  <a:blip r:embed="rId1">
                    <a:extLst>
                      <a:ext uri="{28A0092B-C50C-407E-A947-70E740481C1C}">
                        <a14:useLocalDpi xmlns:a14="http://schemas.microsoft.com/office/drawing/2010/main" val="0"/>
                      </a:ext>
                    </a:extLst>
                  </a:blip>
                  <a:stretch>
                    <a:fillRect/>
                  </a:stretch>
                </pic:blipFill>
                <pic:spPr>
                  <a:xfrm>
                    <a:off x="0" y="0"/>
                    <a:ext cx="2571750" cy="1028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D5FB6"/>
    <w:multiLevelType w:val="hybridMultilevel"/>
    <w:tmpl w:val="4CE45D86"/>
    <w:lvl w:ilvl="0" w:tplc="5066D2C4">
      <w:start w:val="4"/>
      <w:numFmt w:val="bullet"/>
      <w:lvlText w:val="-"/>
      <w:lvlJc w:val="left"/>
      <w:pPr>
        <w:ind w:left="1300" w:hanging="1300"/>
      </w:pPr>
      <w:rPr>
        <w:rFonts w:ascii="Palatino Linotype" w:eastAsiaTheme="minorEastAsia" w:hAnsi="Palatino Linotype" w:cs="Palatino Linotype"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5E2B74A4"/>
    <w:multiLevelType w:val="hybridMultilevel"/>
    <w:tmpl w:val="3120E888"/>
    <w:lvl w:ilvl="0" w:tplc="FBA486C8">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94"/>
    <w:rsid w:val="000066A4"/>
    <w:rsid w:val="00034BED"/>
    <w:rsid w:val="00055F8B"/>
    <w:rsid w:val="000E02FC"/>
    <w:rsid w:val="00136A31"/>
    <w:rsid w:val="001F11E2"/>
    <w:rsid w:val="00200C35"/>
    <w:rsid w:val="00211D37"/>
    <w:rsid w:val="00255870"/>
    <w:rsid w:val="002E67B7"/>
    <w:rsid w:val="0032161E"/>
    <w:rsid w:val="00323914"/>
    <w:rsid w:val="00402FB5"/>
    <w:rsid w:val="00450860"/>
    <w:rsid w:val="00510B91"/>
    <w:rsid w:val="00516DE2"/>
    <w:rsid w:val="005D5C28"/>
    <w:rsid w:val="0062193B"/>
    <w:rsid w:val="006C4D23"/>
    <w:rsid w:val="006D6845"/>
    <w:rsid w:val="00707CBE"/>
    <w:rsid w:val="0073131B"/>
    <w:rsid w:val="0076304C"/>
    <w:rsid w:val="007A2EA4"/>
    <w:rsid w:val="007F250A"/>
    <w:rsid w:val="008849B8"/>
    <w:rsid w:val="008F645A"/>
    <w:rsid w:val="00906B9F"/>
    <w:rsid w:val="00954AEF"/>
    <w:rsid w:val="0098420B"/>
    <w:rsid w:val="00A01271"/>
    <w:rsid w:val="00A113E4"/>
    <w:rsid w:val="00A450DD"/>
    <w:rsid w:val="00B83B94"/>
    <w:rsid w:val="00BA79CB"/>
    <w:rsid w:val="00BC0CCF"/>
    <w:rsid w:val="00C23158"/>
    <w:rsid w:val="00D13BA9"/>
    <w:rsid w:val="00D20DAE"/>
    <w:rsid w:val="00D60475"/>
    <w:rsid w:val="00D60B4F"/>
    <w:rsid w:val="00E218ED"/>
    <w:rsid w:val="00EA1B31"/>
    <w:rsid w:val="00FC5E25"/>
    <w:rsid w:val="00FE69B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315A33F-7B2E-4655-A017-24C8AE2F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0E02F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A1B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1B31"/>
  </w:style>
  <w:style w:type="paragraph" w:styleId="Sidfot">
    <w:name w:val="footer"/>
    <w:basedOn w:val="Normal"/>
    <w:link w:val="SidfotChar"/>
    <w:uiPriority w:val="99"/>
    <w:unhideWhenUsed/>
    <w:rsid w:val="00EA1B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1B31"/>
  </w:style>
  <w:style w:type="character" w:styleId="Hyperlnk">
    <w:name w:val="Hyperlink"/>
    <w:basedOn w:val="Standardstycketeckensnitt"/>
    <w:uiPriority w:val="99"/>
    <w:unhideWhenUsed/>
    <w:rsid w:val="00EA1B31"/>
    <w:rPr>
      <w:color w:val="0563C1" w:themeColor="hyperlink"/>
      <w:u w:val="single"/>
    </w:rPr>
  </w:style>
  <w:style w:type="paragraph" w:styleId="Liststycke">
    <w:name w:val="List Paragraph"/>
    <w:basedOn w:val="Normal"/>
    <w:uiPriority w:val="34"/>
    <w:qFormat/>
    <w:rsid w:val="00402FB5"/>
    <w:pPr>
      <w:spacing w:after="200" w:line="276" w:lineRule="auto"/>
      <w:ind w:left="720"/>
      <w:contextualSpacing/>
    </w:pPr>
  </w:style>
  <w:style w:type="character" w:customStyle="1" w:styleId="Rubrik3Char">
    <w:name w:val="Rubrik 3 Char"/>
    <w:basedOn w:val="Standardstycketeckensnitt"/>
    <w:link w:val="Rubrik3"/>
    <w:uiPriority w:val="9"/>
    <w:rsid w:val="000E02FC"/>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0E02F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E02FC"/>
  </w:style>
  <w:style w:type="character" w:styleId="Betoning">
    <w:name w:val="Emphasis"/>
    <w:basedOn w:val="Standardstycketeckensnitt"/>
    <w:uiPriority w:val="20"/>
    <w:qFormat/>
    <w:rsid w:val="000E02FC"/>
    <w:rPr>
      <w:i/>
      <w:iCs/>
    </w:rPr>
  </w:style>
  <w:style w:type="paragraph" w:styleId="Ballongtext">
    <w:name w:val="Balloon Text"/>
    <w:basedOn w:val="Normal"/>
    <w:link w:val="BallongtextChar"/>
    <w:uiPriority w:val="99"/>
    <w:semiHidden/>
    <w:unhideWhenUsed/>
    <w:rsid w:val="00C2315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23158"/>
    <w:rPr>
      <w:rFonts w:ascii="Segoe UI" w:hAnsi="Segoe UI" w:cs="Segoe UI"/>
      <w:sz w:val="18"/>
      <w:szCs w:val="18"/>
    </w:rPr>
  </w:style>
  <w:style w:type="paragraph" w:styleId="Fotnotstext">
    <w:name w:val="footnote text"/>
    <w:basedOn w:val="Normal"/>
    <w:link w:val="FotnotstextChar"/>
    <w:uiPriority w:val="99"/>
    <w:unhideWhenUsed/>
    <w:rsid w:val="00B83B94"/>
    <w:pPr>
      <w:spacing w:after="0" w:line="240" w:lineRule="auto"/>
    </w:pPr>
    <w:rPr>
      <w:rFonts w:ascii="Palatino Linotype" w:eastAsiaTheme="minorEastAsia" w:hAnsi="Palatino Linotype"/>
      <w:sz w:val="24"/>
      <w:szCs w:val="24"/>
      <w:lang w:eastAsia="sv-SE"/>
    </w:rPr>
  </w:style>
  <w:style w:type="character" w:customStyle="1" w:styleId="FotnotstextChar">
    <w:name w:val="Fotnotstext Char"/>
    <w:basedOn w:val="Standardstycketeckensnitt"/>
    <w:link w:val="Fotnotstext"/>
    <w:uiPriority w:val="99"/>
    <w:rsid w:val="00B83B94"/>
    <w:rPr>
      <w:rFonts w:ascii="Palatino Linotype" w:eastAsiaTheme="minorEastAsia" w:hAnsi="Palatino Linotype"/>
      <w:sz w:val="24"/>
      <w:szCs w:val="24"/>
      <w:lang w:eastAsia="sv-SE"/>
    </w:rPr>
  </w:style>
  <w:style w:type="character" w:styleId="Fotnotsreferens">
    <w:name w:val="footnote reference"/>
    <w:basedOn w:val="Standardstycketeckensnitt"/>
    <w:unhideWhenUsed/>
    <w:rsid w:val="00B83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7793">
      <w:bodyDiv w:val="1"/>
      <w:marLeft w:val="0"/>
      <w:marRight w:val="0"/>
      <w:marTop w:val="0"/>
      <w:marBottom w:val="0"/>
      <w:divBdr>
        <w:top w:val="none" w:sz="0" w:space="0" w:color="auto"/>
        <w:left w:val="none" w:sz="0" w:space="0" w:color="auto"/>
        <w:bottom w:val="none" w:sz="0" w:space="0" w:color="auto"/>
        <w:right w:val="none" w:sz="0" w:space="0" w:color="auto"/>
      </w:divBdr>
    </w:div>
    <w:div w:id="261307666">
      <w:bodyDiv w:val="1"/>
      <w:marLeft w:val="0"/>
      <w:marRight w:val="0"/>
      <w:marTop w:val="0"/>
      <w:marBottom w:val="0"/>
      <w:divBdr>
        <w:top w:val="none" w:sz="0" w:space="0" w:color="auto"/>
        <w:left w:val="none" w:sz="0" w:space="0" w:color="auto"/>
        <w:bottom w:val="none" w:sz="0" w:space="0" w:color="auto"/>
        <w:right w:val="none" w:sz="0" w:space="0" w:color="auto"/>
      </w:divBdr>
    </w:div>
    <w:div w:id="1372683157">
      <w:bodyDiv w:val="1"/>
      <w:marLeft w:val="0"/>
      <w:marRight w:val="0"/>
      <w:marTop w:val="0"/>
      <w:marBottom w:val="0"/>
      <w:divBdr>
        <w:top w:val="none" w:sz="0" w:space="0" w:color="auto"/>
        <w:left w:val="none" w:sz="0" w:space="0" w:color="auto"/>
        <w:bottom w:val="none" w:sz="0" w:space="0" w:color="auto"/>
        <w:right w:val="none" w:sz="0" w:space="0" w:color="auto"/>
      </w:divBdr>
    </w:div>
    <w:div w:id="19426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ipo.europa.eu/ohimportal/en/web/observatory/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ancebrevets.com" TargetMode="External"/><Relationship Id="rId4" Type="http://schemas.openxmlformats.org/officeDocument/2006/relationships/settings" Target="settings.xml"/><Relationship Id="rId9" Type="http://schemas.openxmlformats.org/officeDocument/2006/relationships/hyperlink" Target="ftp://ftp.cordis.europa.eu/pub/innovation-policy/studies/studies_enforcing_firms_patent_rights.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ppfinnare.se" TargetMode="External"/><Relationship Id="rId1" Type="http://schemas.openxmlformats.org/officeDocument/2006/relationships/hyperlink" Target="mailto:suf@uppfinnare.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ir.nu/Journal/nir-2015-5" TargetMode="External"/><Relationship Id="rId1" Type="http://schemas.openxmlformats.org/officeDocument/2006/relationships/hyperlink" Target="file:///C:\Users\Anne\AppData\Local\Microsoft\Windows\Temporary%20Internet%20Files\Content.Outlook\DCHPKZPU\Upgrading%20the%20single%20market,%20more%20opportunities%20for%20people%20and%20bus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SUF-mallar%202015\Brevmall%20SU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AE4D-746F-47FB-B936-AFADFBF8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SUF</Template>
  <TotalTime>0</TotalTime>
  <Pages>3</Pages>
  <Words>1124</Words>
  <Characters>5959</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Bengtsson</dc:creator>
  <cp:keywords/>
  <dc:description/>
  <cp:lastModifiedBy>Anne Bengtsson</cp:lastModifiedBy>
  <cp:revision>2</cp:revision>
  <cp:lastPrinted>2015-12-18T14:33:00Z</cp:lastPrinted>
  <dcterms:created xsi:type="dcterms:W3CDTF">2016-04-15T06:39:00Z</dcterms:created>
  <dcterms:modified xsi:type="dcterms:W3CDTF">2016-04-15T06:39:00Z</dcterms:modified>
  <cp:contentStatus/>
</cp:coreProperties>
</file>