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79CD" w14:textId="7E6B7609" w:rsidR="004E263C" w:rsidRPr="00F73BA7" w:rsidRDefault="004E263C" w:rsidP="004E263C">
      <w:pPr>
        <w:rPr>
          <w:rFonts w:ascii="Garamond" w:hAnsi="Garamond"/>
          <w:b/>
          <w:sz w:val="24"/>
          <w:szCs w:val="24"/>
        </w:rPr>
      </w:pPr>
      <w:r w:rsidRPr="00F73BA7">
        <w:rPr>
          <w:rFonts w:ascii="Garamond" w:hAnsi="Garamond"/>
          <w:b/>
          <w:sz w:val="24"/>
          <w:szCs w:val="24"/>
        </w:rPr>
        <w:t>Climate Ethics and Future Generations</w:t>
      </w:r>
    </w:p>
    <w:p w14:paraId="31C5A1D6" w14:textId="77777777" w:rsidR="004E263C" w:rsidRPr="00F73BA7" w:rsidRDefault="004E263C" w:rsidP="004E263C">
      <w:pPr>
        <w:rPr>
          <w:rFonts w:ascii="Garamond" w:hAnsi="Garamond"/>
          <w:b/>
          <w:sz w:val="24"/>
          <w:szCs w:val="24"/>
        </w:rPr>
      </w:pPr>
      <w:r w:rsidRPr="00F73BA7">
        <w:rPr>
          <w:rFonts w:ascii="Garamond" w:hAnsi="Garamond"/>
          <w:b/>
          <w:sz w:val="24"/>
          <w:szCs w:val="24"/>
        </w:rPr>
        <w:t>Schedule</w:t>
      </w:r>
    </w:p>
    <w:p w14:paraId="05DE6BF5" w14:textId="77777777" w:rsidR="004E263C" w:rsidRPr="00F73BA7" w:rsidRDefault="004E263C" w:rsidP="004E263C">
      <w:pPr>
        <w:rPr>
          <w:rFonts w:ascii="Garamond" w:hAnsi="Garamond"/>
          <w:b/>
          <w:sz w:val="24"/>
          <w:szCs w:val="24"/>
        </w:rPr>
      </w:pPr>
      <w:r w:rsidRPr="00F73BA7">
        <w:rPr>
          <w:rFonts w:ascii="Garamond" w:hAnsi="Garamond"/>
          <w:b/>
          <w:sz w:val="24"/>
          <w:szCs w:val="24"/>
        </w:rPr>
        <w:t>Thursday, April 30</w:t>
      </w:r>
      <w:r w:rsidRPr="00F73BA7">
        <w:rPr>
          <w:rFonts w:ascii="Garamond" w:hAnsi="Garamond"/>
          <w:b/>
          <w:sz w:val="24"/>
          <w:szCs w:val="24"/>
          <w:vertAlign w:val="superscript"/>
        </w:rPr>
        <w:t>th</w:t>
      </w:r>
      <w:r w:rsidRPr="00F73BA7">
        <w:rPr>
          <w:rFonts w:ascii="Garamond" w:hAnsi="Garamond"/>
          <w:b/>
          <w:sz w:val="24"/>
          <w:szCs w:val="24"/>
        </w:rPr>
        <w:t xml:space="preserve"> </w:t>
      </w:r>
    </w:p>
    <w:tbl>
      <w:tblPr>
        <w:tblStyle w:val="TableGrid"/>
        <w:tblW w:w="9513" w:type="dxa"/>
        <w:tblInd w:w="-5" w:type="dxa"/>
        <w:tblLook w:val="04A0" w:firstRow="1" w:lastRow="0" w:firstColumn="1" w:lastColumn="0" w:noHBand="0" w:noVBand="1"/>
      </w:tblPr>
      <w:tblGrid>
        <w:gridCol w:w="1418"/>
        <w:gridCol w:w="1929"/>
        <w:gridCol w:w="6166"/>
      </w:tblGrid>
      <w:tr w:rsidR="004E263C" w:rsidRPr="00F73BA7" w14:paraId="66617F05" w14:textId="77777777" w:rsidTr="009B14AE">
        <w:tc>
          <w:tcPr>
            <w:tcW w:w="1418" w:type="dxa"/>
          </w:tcPr>
          <w:p w14:paraId="40E047FB" w14:textId="77777777" w:rsidR="004E263C" w:rsidRPr="00F73BA7" w:rsidRDefault="004E263C" w:rsidP="009B14AE">
            <w:pPr>
              <w:rPr>
                <w:rFonts w:ascii="Garamond" w:hAnsi="Garamond"/>
                <w:sz w:val="24"/>
                <w:szCs w:val="24"/>
              </w:rPr>
            </w:pPr>
            <w:bookmarkStart w:id="0" w:name="_Hlk513198185"/>
          </w:p>
        </w:tc>
        <w:tc>
          <w:tcPr>
            <w:tcW w:w="1929" w:type="dxa"/>
          </w:tcPr>
          <w:p w14:paraId="773647F0" w14:textId="77777777" w:rsidR="004E263C" w:rsidRPr="00F73BA7" w:rsidRDefault="004E263C" w:rsidP="009B14AE">
            <w:pPr>
              <w:rPr>
                <w:rFonts w:ascii="Garamond" w:hAnsi="Garamond"/>
                <w:sz w:val="24"/>
                <w:szCs w:val="24"/>
              </w:rPr>
            </w:pPr>
          </w:p>
        </w:tc>
        <w:tc>
          <w:tcPr>
            <w:tcW w:w="6166" w:type="dxa"/>
          </w:tcPr>
          <w:p w14:paraId="7872C7A2" w14:textId="77777777" w:rsidR="004E263C" w:rsidRPr="00F73BA7" w:rsidRDefault="004E263C" w:rsidP="009B14AE">
            <w:pPr>
              <w:rPr>
                <w:rFonts w:ascii="Garamond" w:hAnsi="Garamond"/>
                <w:b/>
                <w:sz w:val="24"/>
                <w:szCs w:val="24"/>
              </w:rPr>
            </w:pPr>
          </w:p>
        </w:tc>
      </w:tr>
      <w:tr w:rsidR="004E263C" w:rsidRPr="00F73BA7" w14:paraId="0036CE9C" w14:textId="77777777" w:rsidTr="009B14AE">
        <w:tc>
          <w:tcPr>
            <w:tcW w:w="1418" w:type="dxa"/>
          </w:tcPr>
          <w:p w14:paraId="4552D5AE" w14:textId="77777777" w:rsidR="004E263C" w:rsidRPr="00F73BA7" w:rsidRDefault="004E263C" w:rsidP="009B14AE">
            <w:pPr>
              <w:rPr>
                <w:rFonts w:ascii="Garamond" w:hAnsi="Garamond"/>
                <w:sz w:val="24"/>
                <w:szCs w:val="24"/>
              </w:rPr>
            </w:pPr>
            <w:bookmarkStart w:id="1" w:name="_Hlk525549204"/>
            <w:r w:rsidRPr="00F73BA7">
              <w:rPr>
                <w:rFonts w:ascii="Garamond" w:hAnsi="Garamond"/>
                <w:sz w:val="24"/>
                <w:szCs w:val="24"/>
              </w:rPr>
              <w:t>9.00 – 9:10</w:t>
            </w:r>
          </w:p>
        </w:tc>
        <w:tc>
          <w:tcPr>
            <w:tcW w:w="1929" w:type="dxa"/>
          </w:tcPr>
          <w:p w14:paraId="15DC5F83" w14:textId="77777777" w:rsidR="004E263C" w:rsidRPr="00F73BA7" w:rsidRDefault="004E263C" w:rsidP="009B14AE">
            <w:pPr>
              <w:rPr>
                <w:rFonts w:ascii="Garamond" w:hAnsi="Garamond"/>
                <w:sz w:val="24"/>
                <w:szCs w:val="24"/>
              </w:rPr>
            </w:pPr>
            <w:r w:rsidRPr="00F73BA7">
              <w:rPr>
                <w:rFonts w:ascii="Garamond" w:hAnsi="Garamond"/>
                <w:sz w:val="24"/>
                <w:szCs w:val="24"/>
              </w:rPr>
              <w:t>Brief Introduction</w:t>
            </w:r>
          </w:p>
        </w:tc>
        <w:tc>
          <w:tcPr>
            <w:tcW w:w="6166" w:type="dxa"/>
          </w:tcPr>
          <w:p w14:paraId="4248DC43" w14:textId="77777777" w:rsidR="004E263C" w:rsidRPr="00F73BA7" w:rsidRDefault="004E263C" w:rsidP="009B14AE">
            <w:pPr>
              <w:rPr>
                <w:rFonts w:ascii="Garamond" w:hAnsi="Garamond"/>
                <w:sz w:val="24"/>
                <w:szCs w:val="24"/>
              </w:rPr>
            </w:pPr>
          </w:p>
        </w:tc>
      </w:tr>
      <w:bookmarkEnd w:id="1"/>
      <w:tr w:rsidR="004E263C" w:rsidRPr="00F73BA7" w14:paraId="3E8D02AC" w14:textId="77777777" w:rsidTr="009B14AE">
        <w:tc>
          <w:tcPr>
            <w:tcW w:w="1418" w:type="dxa"/>
            <w:shd w:val="clear" w:color="auto" w:fill="FFFFFF" w:themeFill="background1"/>
          </w:tcPr>
          <w:p w14:paraId="51A0E919" w14:textId="77777777" w:rsidR="004E263C" w:rsidRPr="00F73BA7" w:rsidRDefault="004E263C" w:rsidP="009B14AE">
            <w:pPr>
              <w:rPr>
                <w:rFonts w:ascii="Garamond" w:hAnsi="Garamond"/>
                <w:sz w:val="24"/>
                <w:szCs w:val="24"/>
              </w:rPr>
            </w:pPr>
            <w:r w:rsidRPr="00F73BA7">
              <w:rPr>
                <w:rFonts w:ascii="Garamond" w:hAnsi="Garamond"/>
                <w:sz w:val="24"/>
                <w:szCs w:val="24"/>
              </w:rPr>
              <w:t>9.10 – 10.10</w:t>
            </w:r>
          </w:p>
        </w:tc>
        <w:tc>
          <w:tcPr>
            <w:tcW w:w="1929" w:type="dxa"/>
            <w:shd w:val="clear" w:color="auto" w:fill="FFFFFF" w:themeFill="background1"/>
          </w:tcPr>
          <w:p w14:paraId="251B474A" w14:textId="669D8421" w:rsidR="004E263C" w:rsidRPr="00F73BA7" w:rsidRDefault="00A43BA2" w:rsidP="009B14AE">
            <w:pPr>
              <w:rPr>
                <w:rFonts w:ascii="Garamond" w:hAnsi="Garamond"/>
                <w:sz w:val="24"/>
                <w:szCs w:val="24"/>
              </w:rPr>
            </w:pPr>
            <w:r w:rsidRPr="00F73BA7">
              <w:rPr>
                <w:rFonts w:ascii="Garamond" w:hAnsi="Garamond"/>
                <w:sz w:val="24"/>
                <w:szCs w:val="24"/>
              </w:rPr>
              <w:t>Anders Herlitz</w:t>
            </w:r>
          </w:p>
        </w:tc>
        <w:tc>
          <w:tcPr>
            <w:tcW w:w="6166" w:type="dxa"/>
            <w:shd w:val="clear" w:color="auto" w:fill="FFFFFF" w:themeFill="background1"/>
          </w:tcPr>
          <w:p w14:paraId="61DC65D7" w14:textId="77777777" w:rsidR="00BF48AE" w:rsidRPr="00F73BA7" w:rsidRDefault="00BF48AE" w:rsidP="00BF48AE">
            <w:pPr>
              <w:pStyle w:val="NormalWeb"/>
              <w:shd w:val="clear" w:color="auto" w:fill="FFFFFF"/>
              <w:spacing w:before="0" w:beforeAutospacing="0" w:after="0" w:afterAutospacing="0"/>
              <w:rPr>
                <w:rFonts w:ascii="Garamond" w:hAnsi="Garamond"/>
                <w:color w:val="201F1E"/>
              </w:rPr>
            </w:pPr>
            <w:r w:rsidRPr="00F73BA7">
              <w:rPr>
                <w:rFonts w:ascii="Garamond" w:hAnsi="Garamond"/>
                <w:color w:val="201F1E"/>
                <w:bdr w:val="none" w:sz="0" w:space="0" w:color="auto" w:frame="1"/>
                <w:lang w:val="en-US"/>
              </w:rPr>
              <w:t>“Testing the Decomposition Test”</w:t>
            </w:r>
          </w:p>
          <w:p w14:paraId="5F3BE51C" w14:textId="77777777" w:rsidR="00BF48AE" w:rsidRPr="00F73BA7" w:rsidRDefault="00BF48AE" w:rsidP="00BF48AE">
            <w:pPr>
              <w:pStyle w:val="NormalWeb"/>
              <w:shd w:val="clear" w:color="auto" w:fill="FFFFFF"/>
              <w:spacing w:before="0" w:beforeAutospacing="0" w:after="0" w:afterAutospacing="0"/>
              <w:rPr>
                <w:rFonts w:ascii="Garamond" w:hAnsi="Garamond"/>
                <w:color w:val="201F1E"/>
              </w:rPr>
            </w:pPr>
            <w:r w:rsidRPr="00F73BA7">
              <w:rPr>
                <w:rFonts w:ascii="Garamond" w:hAnsi="Garamond"/>
                <w:color w:val="201F1E"/>
                <w:bdr w:val="none" w:sz="0" w:space="0" w:color="auto" w:frame="1"/>
                <w:lang w:val="en-US"/>
              </w:rPr>
              <w:t> </w:t>
            </w:r>
          </w:p>
          <w:p w14:paraId="17D1549E" w14:textId="77777777" w:rsidR="00BF48AE" w:rsidRPr="00F73BA7" w:rsidRDefault="00BF48AE" w:rsidP="00BF48AE">
            <w:pPr>
              <w:pStyle w:val="NormalWeb"/>
              <w:shd w:val="clear" w:color="auto" w:fill="FFFFFF"/>
              <w:spacing w:before="0" w:beforeAutospacing="0" w:after="0" w:afterAutospacing="0"/>
              <w:rPr>
                <w:rFonts w:ascii="Garamond" w:hAnsi="Garamond"/>
                <w:color w:val="201F1E"/>
              </w:rPr>
            </w:pPr>
            <w:r w:rsidRPr="00F73BA7">
              <w:rPr>
                <w:rFonts w:ascii="Garamond" w:hAnsi="Garamond"/>
                <w:color w:val="201F1E"/>
                <w:bdr w:val="none" w:sz="0" w:space="0" w:color="auto" w:frame="1"/>
                <w:lang w:val="en-US"/>
              </w:rPr>
              <w:t>Authors: Greg Bognar &amp; Anders Herlitz</w:t>
            </w:r>
          </w:p>
          <w:p w14:paraId="54A7E506" w14:textId="77777777" w:rsidR="00BF48AE" w:rsidRPr="00F73BA7" w:rsidRDefault="00BF48AE" w:rsidP="00BF48AE">
            <w:pPr>
              <w:pStyle w:val="NormalWeb"/>
              <w:shd w:val="clear" w:color="auto" w:fill="FFFFFF"/>
              <w:spacing w:before="0" w:after="0"/>
              <w:rPr>
                <w:rFonts w:ascii="Garamond" w:hAnsi="Garamond"/>
                <w:color w:val="201F1E"/>
              </w:rPr>
            </w:pPr>
            <w:r w:rsidRPr="00F73BA7">
              <w:rPr>
                <w:rFonts w:ascii="Garamond" w:hAnsi="Garamond"/>
                <w:color w:val="201F1E"/>
                <w:bdr w:val="none" w:sz="0" w:space="0" w:color="auto" w:frame="1"/>
                <w:lang w:val="en-US"/>
              </w:rPr>
              <w:t>Abstract: “</w:t>
            </w:r>
            <w:r w:rsidRPr="00F73BA7">
              <w:rPr>
                <w:rFonts w:ascii="Garamond" w:hAnsi="Garamond"/>
                <w:color w:val="000000"/>
                <w:bdr w:val="none" w:sz="0" w:space="0" w:color="auto" w:frame="1"/>
              </w:rPr>
              <w:t>Contractualism ties moral justification to the idea of "reasonable rejectability" in terms of the complaints one can make against adopting a moral principle.  There is, however, sharp disagreement among contractualists whether contractualism should be based on ex ante or ex post complaints.  Should the complaints that moral agents can raise be based on expected or actual outcomes?  On the one hand, ex post contractualism, which is based on actual outcomes, is vulnerable to well-known objections.  On the other hand, it has been argued that ex ante contractualism, which is based on expected outcomes, is too similar to aggregative views and thereby conflicts with the very motivation to embrace contractualism.</w:t>
            </w:r>
            <w:r w:rsidRPr="00F73BA7">
              <w:rPr>
                <w:rFonts w:ascii="Garamond" w:hAnsi="Garamond"/>
                <w:color w:val="000000"/>
                <w:bdr w:val="none" w:sz="0" w:space="0" w:color="auto" w:frame="1"/>
              </w:rPr>
              <w:br/>
            </w:r>
            <w:r w:rsidRPr="00F73BA7">
              <w:rPr>
                <w:rFonts w:ascii="Garamond" w:hAnsi="Garamond"/>
                <w:color w:val="000000"/>
                <w:bdr w:val="none" w:sz="0" w:space="0" w:color="auto" w:frame="1"/>
              </w:rPr>
              <w:br/>
              <w:t>A recent proposal to defend ex ante contractualism from this objection introduces the so-called decomposition test, which extends the idea of reasonable rejectability to each stage in which a principle is implemented.  In this paper, we argue that ex ante contractualism with the decomposition test faces a serious problem.  We consider two interpretations of the view, and show that neither can avoid our objection.  We show that the worry about the aggregative nature of ex ante contractualism not only remains, but it is exacerbated with the decomposition tes</w:t>
            </w:r>
            <w:r w:rsidRPr="00F73BA7">
              <w:rPr>
                <w:rFonts w:ascii="Garamond" w:hAnsi="Garamond"/>
                <w:color w:val="000000"/>
                <w:bdr w:val="none" w:sz="0" w:space="0" w:color="auto" w:frame="1"/>
                <w:lang w:val="en-US"/>
              </w:rPr>
              <w:t>t”</w:t>
            </w:r>
          </w:p>
          <w:p w14:paraId="228AB6A1" w14:textId="77777777" w:rsidR="004E263C" w:rsidRPr="00F73BA7" w:rsidRDefault="004E263C" w:rsidP="009B14AE">
            <w:pPr>
              <w:rPr>
                <w:rFonts w:ascii="Garamond" w:hAnsi="Garamond" w:cs="Times New Roman"/>
                <w:sz w:val="24"/>
                <w:szCs w:val="24"/>
              </w:rPr>
            </w:pPr>
          </w:p>
        </w:tc>
      </w:tr>
      <w:tr w:rsidR="004E263C" w:rsidRPr="00F73BA7" w14:paraId="0F3BD5A4" w14:textId="77777777" w:rsidTr="009B14AE">
        <w:tc>
          <w:tcPr>
            <w:tcW w:w="1418" w:type="dxa"/>
            <w:shd w:val="clear" w:color="auto" w:fill="FFFFFF" w:themeFill="background1"/>
          </w:tcPr>
          <w:p w14:paraId="42AC6590" w14:textId="77777777" w:rsidR="004E263C" w:rsidRPr="00F73BA7" w:rsidRDefault="004E263C" w:rsidP="009B14AE">
            <w:pPr>
              <w:rPr>
                <w:rFonts w:ascii="Garamond" w:hAnsi="Garamond"/>
                <w:sz w:val="24"/>
                <w:szCs w:val="24"/>
              </w:rPr>
            </w:pPr>
            <w:r w:rsidRPr="00F73BA7">
              <w:rPr>
                <w:rFonts w:ascii="Garamond" w:hAnsi="Garamond"/>
                <w:sz w:val="24"/>
                <w:szCs w:val="24"/>
              </w:rPr>
              <w:t>10.10 – 10.30</w:t>
            </w:r>
          </w:p>
        </w:tc>
        <w:tc>
          <w:tcPr>
            <w:tcW w:w="1929" w:type="dxa"/>
            <w:shd w:val="clear" w:color="auto" w:fill="FFFFFF" w:themeFill="background1"/>
          </w:tcPr>
          <w:p w14:paraId="6AC1206C" w14:textId="77777777" w:rsidR="004E263C" w:rsidRPr="00F73BA7" w:rsidRDefault="004E263C" w:rsidP="009B14AE">
            <w:pPr>
              <w:rPr>
                <w:rFonts w:ascii="Garamond" w:hAnsi="Garamond"/>
                <w:sz w:val="24"/>
                <w:szCs w:val="24"/>
              </w:rPr>
            </w:pPr>
            <w:r w:rsidRPr="00F73BA7">
              <w:rPr>
                <w:rFonts w:ascii="Garamond" w:hAnsi="Garamond"/>
                <w:sz w:val="24"/>
                <w:szCs w:val="24"/>
              </w:rPr>
              <w:t>Coffee Break</w:t>
            </w:r>
          </w:p>
        </w:tc>
        <w:tc>
          <w:tcPr>
            <w:tcW w:w="6166" w:type="dxa"/>
            <w:shd w:val="clear" w:color="auto" w:fill="FFFFFF" w:themeFill="background1"/>
          </w:tcPr>
          <w:p w14:paraId="0E05CAA5" w14:textId="77777777" w:rsidR="004E263C" w:rsidRPr="00F73BA7" w:rsidRDefault="004E263C" w:rsidP="009B14AE">
            <w:pPr>
              <w:rPr>
                <w:rFonts w:ascii="Garamond" w:hAnsi="Garamond"/>
                <w:sz w:val="24"/>
                <w:szCs w:val="24"/>
              </w:rPr>
            </w:pPr>
          </w:p>
        </w:tc>
      </w:tr>
      <w:tr w:rsidR="004E263C" w:rsidRPr="00F73BA7" w14:paraId="71A285AD" w14:textId="77777777" w:rsidTr="009B14AE">
        <w:trPr>
          <w:trHeight w:val="343"/>
        </w:trPr>
        <w:tc>
          <w:tcPr>
            <w:tcW w:w="1418" w:type="dxa"/>
          </w:tcPr>
          <w:p w14:paraId="057FA2D0" w14:textId="77777777" w:rsidR="004E263C" w:rsidRPr="00F73BA7" w:rsidRDefault="004E263C" w:rsidP="009B14AE">
            <w:pPr>
              <w:rPr>
                <w:rFonts w:ascii="Garamond" w:hAnsi="Garamond"/>
                <w:sz w:val="24"/>
                <w:szCs w:val="24"/>
              </w:rPr>
            </w:pPr>
            <w:r w:rsidRPr="00F73BA7">
              <w:rPr>
                <w:rFonts w:ascii="Garamond" w:hAnsi="Garamond"/>
                <w:sz w:val="24"/>
                <w:szCs w:val="24"/>
              </w:rPr>
              <w:t>10.30 – 11.30</w:t>
            </w:r>
          </w:p>
        </w:tc>
        <w:tc>
          <w:tcPr>
            <w:tcW w:w="1929" w:type="dxa"/>
          </w:tcPr>
          <w:p w14:paraId="0C95BBD0" w14:textId="725AA46B" w:rsidR="004E263C" w:rsidRPr="00F73BA7" w:rsidRDefault="00BF48AE" w:rsidP="009B14AE">
            <w:pPr>
              <w:rPr>
                <w:rFonts w:ascii="Garamond" w:hAnsi="Garamond"/>
                <w:sz w:val="24"/>
                <w:szCs w:val="24"/>
              </w:rPr>
            </w:pPr>
            <w:r w:rsidRPr="00F73BA7">
              <w:rPr>
                <w:rFonts w:ascii="Garamond" w:hAnsi="Garamond"/>
                <w:sz w:val="24"/>
                <w:szCs w:val="24"/>
              </w:rPr>
              <w:t>Stephane Zuber</w:t>
            </w:r>
          </w:p>
        </w:tc>
        <w:tc>
          <w:tcPr>
            <w:tcW w:w="6166" w:type="dxa"/>
          </w:tcPr>
          <w:p w14:paraId="6F6AA886" w14:textId="247C6BE3" w:rsidR="004E263C" w:rsidRPr="00F73BA7" w:rsidRDefault="00152BD6" w:rsidP="009B14AE">
            <w:pPr>
              <w:rPr>
                <w:rFonts w:ascii="Garamond" w:hAnsi="Garamond" w:cs="Arial"/>
                <w:color w:val="201F1E"/>
                <w:sz w:val="24"/>
                <w:szCs w:val="24"/>
                <w:shd w:val="clear" w:color="auto" w:fill="FFFFFF"/>
              </w:rPr>
            </w:pPr>
            <w:r>
              <w:rPr>
                <w:rFonts w:ascii="Garamond" w:hAnsi="Garamond" w:cs="Arial"/>
                <w:color w:val="201F1E"/>
                <w:sz w:val="24"/>
                <w:szCs w:val="24"/>
                <w:shd w:val="clear" w:color="auto" w:fill="FFFFFF"/>
              </w:rPr>
              <w:t>“</w:t>
            </w:r>
            <w:r w:rsidR="00BF48AE" w:rsidRPr="00F73BA7">
              <w:rPr>
                <w:rFonts w:ascii="Garamond" w:hAnsi="Garamond" w:cs="Arial"/>
                <w:color w:val="201F1E"/>
                <w:sz w:val="24"/>
                <w:szCs w:val="24"/>
                <w:shd w:val="clear" w:color="auto" w:fill="FFFFFF"/>
              </w:rPr>
              <w:t>The welfare implications of climate change-related mortality: Inequality and population ethics</w:t>
            </w:r>
            <w:r>
              <w:rPr>
                <w:rFonts w:ascii="Garamond" w:hAnsi="Garamond" w:cs="Arial"/>
                <w:color w:val="201F1E"/>
                <w:sz w:val="24"/>
                <w:szCs w:val="24"/>
                <w:shd w:val="clear" w:color="auto" w:fill="FFFFFF"/>
              </w:rPr>
              <w:t>”</w:t>
            </w:r>
          </w:p>
          <w:p w14:paraId="6DB1F5B6" w14:textId="4E2649BA" w:rsidR="00F73BA7" w:rsidRPr="00F73BA7" w:rsidRDefault="00F73BA7" w:rsidP="009B14AE">
            <w:pPr>
              <w:rPr>
                <w:rFonts w:ascii="Garamond" w:hAnsi="Garamond" w:cs="Arial"/>
                <w:color w:val="201F1E"/>
                <w:sz w:val="24"/>
                <w:szCs w:val="24"/>
                <w:shd w:val="clear" w:color="auto" w:fill="FFFFFF"/>
              </w:rPr>
            </w:pPr>
          </w:p>
          <w:p w14:paraId="2DE7460E" w14:textId="66F35661" w:rsidR="00F73BA7" w:rsidRPr="00F73BA7" w:rsidRDefault="00F73BA7" w:rsidP="009B14AE">
            <w:pPr>
              <w:rPr>
                <w:rFonts w:ascii="Garamond" w:hAnsi="Garamond" w:cs="Arial"/>
                <w:color w:val="201F1E"/>
                <w:sz w:val="24"/>
                <w:szCs w:val="24"/>
                <w:shd w:val="clear" w:color="auto" w:fill="FFFFFF"/>
              </w:rPr>
            </w:pPr>
            <w:r w:rsidRPr="00F73BA7">
              <w:rPr>
                <w:rFonts w:ascii="Garamond" w:hAnsi="Garamond" w:cs="Arial"/>
                <w:color w:val="201F1E"/>
                <w:sz w:val="24"/>
                <w:szCs w:val="24"/>
                <w:shd w:val="clear" w:color="auto" w:fill="FFFFFF"/>
              </w:rPr>
              <w:t xml:space="preserve">Authors: Stephane Zuber, </w:t>
            </w:r>
            <w:r w:rsidRPr="00F73BA7">
              <w:rPr>
                <w:rFonts w:ascii="Garamond" w:hAnsi="Garamond" w:cs="Arial"/>
                <w:color w:val="201F1E"/>
                <w:sz w:val="24"/>
                <w:szCs w:val="24"/>
                <w:shd w:val="clear" w:color="auto" w:fill="FFFFFF"/>
              </w:rPr>
              <w:t>Marc Fleurbaey</w:t>
            </w:r>
            <w:r w:rsidRPr="00F73BA7">
              <w:rPr>
                <w:rFonts w:ascii="Garamond" w:hAnsi="Garamond" w:cs="Arial"/>
                <w:color w:val="201F1E"/>
                <w:sz w:val="24"/>
                <w:szCs w:val="24"/>
                <w:shd w:val="clear" w:color="auto" w:fill="FFFFFF"/>
              </w:rPr>
              <w:t xml:space="preserve">, </w:t>
            </w:r>
            <w:r w:rsidRPr="00F73BA7">
              <w:rPr>
                <w:rFonts w:ascii="Garamond" w:hAnsi="Garamond" w:cs="Arial"/>
                <w:color w:val="201F1E"/>
                <w:sz w:val="24"/>
                <w:szCs w:val="24"/>
                <w:shd w:val="clear" w:color="auto" w:fill="FFFFFF"/>
              </w:rPr>
              <w:t xml:space="preserve">Aurelie Mejean, </w:t>
            </w:r>
            <w:r w:rsidRPr="00F73BA7">
              <w:rPr>
                <w:rFonts w:ascii="Garamond" w:hAnsi="Garamond" w:cs="Arial"/>
                <w:color w:val="201F1E"/>
                <w:sz w:val="24"/>
                <w:szCs w:val="24"/>
                <w:shd w:val="clear" w:color="auto" w:fill="FFFFFF"/>
              </w:rPr>
              <w:t xml:space="preserve">and </w:t>
            </w:r>
            <w:r w:rsidRPr="00F73BA7">
              <w:rPr>
                <w:rFonts w:ascii="Garamond" w:hAnsi="Garamond" w:cs="Arial"/>
                <w:color w:val="201F1E"/>
                <w:sz w:val="24"/>
                <w:szCs w:val="24"/>
                <w:shd w:val="clear" w:color="auto" w:fill="FFFFFF"/>
              </w:rPr>
              <w:t xml:space="preserve">Antonin Pottier </w:t>
            </w:r>
          </w:p>
          <w:p w14:paraId="2045BA8E" w14:textId="77777777" w:rsidR="00F73BA7" w:rsidRPr="00F73BA7" w:rsidRDefault="00F73BA7" w:rsidP="009B14AE">
            <w:pPr>
              <w:rPr>
                <w:rFonts w:ascii="Garamond" w:hAnsi="Garamond" w:cs="Arial"/>
                <w:color w:val="201F1E"/>
                <w:sz w:val="24"/>
                <w:szCs w:val="24"/>
                <w:shd w:val="clear" w:color="auto" w:fill="FFFFFF"/>
              </w:rPr>
            </w:pPr>
          </w:p>
          <w:p w14:paraId="6752E184" w14:textId="4803A037" w:rsidR="00F73BA7" w:rsidRPr="00F73BA7" w:rsidRDefault="00F73BA7" w:rsidP="009B14AE">
            <w:pPr>
              <w:rPr>
                <w:rFonts w:ascii="Garamond" w:hAnsi="Garamond"/>
                <w:sz w:val="24"/>
                <w:szCs w:val="24"/>
              </w:rPr>
            </w:pPr>
            <w:r w:rsidRPr="00F73BA7">
              <w:rPr>
                <w:rFonts w:ascii="Garamond" w:hAnsi="Garamond" w:cs="Arial"/>
                <w:color w:val="201F1E"/>
                <w:sz w:val="24"/>
                <w:szCs w:val="24"/>
                <w:shd w:val="clear" w:color="auto" w:fill="FFFFFF"/>
              </w:rPr>
              <w:t>Climate change-related mortality may strongly affect human well-being. By reducing life expectancy, it  </w:t>
            </w:r>
            <w:r w:rsidRPr="00F73BA7">
              <w:rPr>
                <w:rFonts w:ascii="Garamond" w:hAnsi="Garamond" w:cs="Arial"/>
                <w:color w:val="201F1E"/>
                <w:sz w:val="24"/>
                <w:szCs w:val="24"/>
              </w:rPr>
              <w:br/>
            </w:r>
            <w:r w:rsidRPr="00F73BA7">
              <w:rPr>
                <w:rFonts w:ascii="Garamond" w:hAnsi="Garamond" w:cs="Arial"/>
                <w:color w:val="201F1E"/>
                <w:sz w:val="24"/>
                <w:szCs w:val="24"/>
                <w:shd w:val="clear" w:color="auto" w:fill="FFFFFF"/>
              </w:rPr>
              <w:t>reduces the well-being of some individuals. This may exacerbate existing inequalities: ex-ante inequality</w:t>
            </w:r>
            <w:r w:rsidRPr="00F73BA7">
              <w:rPr>
                <w:rFonts w:ascii="Garamond" w:hAnsi="Garamond" w:cs="Arial"/>
                <w:color w:val="201F1E"/>
                <w:sz w:val="24"/>
                <w:szCs w:val="24"/>
              </w:rPr>
              <w:br/>
            </w:r>
            <w:r w:rsidRPr="00F73BA7">
              <w:rPr>
                <w:rFonts w:ascii="Garamond" w:hAnsi="Garamond" w:cs="Arial"/>
                <w:color w:val="201F1E"/>
                <w:sz w:val="24"/>
                <w:szCs w:val="24"/>
                <w:shd w:val="clear" w:color="auto" w:fill="FFFFFF"/>
              </w:rPr>
              <w:t>among people in different groups or regions of the world; ex-post inequality in experienced well-being by people</w:t>
            </w:r>
            <w:r w:rsidRPr="00F73BA7">
              <w:rPr>
                <w:rFonts w:ascii="Garamond" w:hAnsi="Garamond" w:cs="Arial"/>
                <w:color w:val="201F1E"/>
                <w:sz w:val="24"/>
                <w:szCs w:val="24"/>
              </w:rPr>
              <w:br/>
            </w:r>
            <w:r w:rsidRPr="00F73BA7">
              <w:rPr>
                <w:rFonts w:ascii="Garamond" w:hAnsi="Garamond" w:cs="Arial"/>
                <w:color w:val="201F1E"/>
                <w:sz w:val="24"/>
                <w:szCs w:val="24"/>
                <w:shd w:val="clear" w:color="auto" w:fill="FFFFFF"/>
              </w:rPr>
              <w:lastRenderedPageBreak/>
              <w:t>in the same generation. But mortality may also reduce total population size by preventing some individuals from having children. This raises the population-ethical problem of how total population size should be valued. We provide estimates of the mortality-related, inequality-related and population-related damages.</w:t>
            </w:r>
          </w:p>
        </w:tc>
      </w:tr>
      <w:tr w:rsidR="004E263C" w:rsidRPr="00F73BA7" w14:paraId="5F4280D4" w14:textId="77777777" w:rsidTr="009B14AE">
        <w:tc>
          <w:tcPr>
            <w:tcW w:w="1418" w:type="dxa"/>
            <w:shd w:val="clear" w:color="auto" w:fill="FFFFFF" w:themeFill="background1"/>
          </w:tcPr>
          <w:p w14:paraId="02EF404D" w14:textId="77777777" w:rsidR="004E263C" w:rsidRPr="00F73BA7" w:rsidRDefault="004E263C" w:rsidP="009B14AE">
            <w:pPr>
              <w:rPr>
                <w:rFonts w:ascii="Garamond" w:hAnsi="Garamond"/>
                <w:sz w:val="24"/>
                <w:szCs w:val="24"/>
              </w:rPr>
            </w:pPr>
            <w:r w:rsidRPr="00F73BA7">
              <w:rPr>
                <w:rFonts w:ascii="Garamond" w:hAnsi="Garamond"/>
                <w:sz w:val="24"/>
                <w:szCs w:val="24"/>
              </w:rPr>
              <w:lastRenderedPageBreak/>
              <w:t>11.30 – 13.00</w:t>
            </w:r>
          </w:p>
        </w:tc>
        <w:tc>
          <w:tcPr>
            <w:tcW w:w="1929" w:type="dxa"/>
            <w:shd w:val="clear" w:color="auto" w:fill="FFFFFF" w:themeFill="background1"/>
          </w:tcPr>
          <w:p w14:paraId="2F828697" w14:textId="77777777" w:rsidR="004E263C" w:rsidRPr="00F73BA7" w:rsidRDefault="004E263C" w:rsidP="009B14AE">
            <w:pPr>
              <w:jc w:val="both"/>
              <w:rPr>
                <w:rFonts w:ascii="Garamond" w:hAnsi="Garamond"/>
                <w:sz w:val="24"/>
                <w:szCs w:val="24"/>
              </w:rPr>
            </w:pPr>
            <w:r w:rsidRPr="00F73BA7">
              <w:rPr>
                <w:rFonts w:ascii="Garamond" w:hAnsi="Garamond" w:cs="Times New Roman"/>
                <w:color w:val="000000" w:themeColor="text1"/>
                <w:sz w:val="24"/>
                <w:szCs w:val="24"/>
                <w:lang w:val="en-US"/>
              </w:rPr>
              <w:t>Lunch</w:t>
            </w:r>
          </w:p>
        </w:tc>
        <w:tc>
          <w:tcPr>
            <w:tcW w:w="6166" w:type="dxa"/>
            <w:shd w:val="clear" w:color="auto" w:fill="FFFFFF" w:themeFill="background1"/>
          </w:tcPr>
          <w:p w14:paraId="3D7226AD" w14:textId="77777777" w:rsidR="004E263C" w:rsidRPr="00F73BA7" w:rsidRDefault="004E263C" w:rsidP="009B14AE">
            <w:pPr>
              <w:rPr>
                <w:rFonts w:ascii="Garamond" w:hAnsi="Garamond"/>
                <w:sz w:val="24"/>
                <w:szCs w:val="24"/>
              </w:rPr>
            </w:pPr>
          </w:p>
        </w:tc>
      </w:tr>
      <w:tr w:rsidR="004E263C" w:rsidRPr="00F73BA7" w14:paraId="4103919A" w14:textId="77777777" w:rsidTr="009B14AE">
        <w:tc>
          <w:tcPr>
            <w:tcW w:w="1418" w:type="dxa"/>
          </w:tcPr>
          <w:p w14:paraId="155537E2" w14:textId="77777777" w:rsidR="004E263C" w:rsidRPr="00F73BA7" w:rsidRDefault="004E263C" w:rsidP="009B14AE">
            <w:pPr>
              <w:rPr>
                <w:rFonts w:ascii="Garamond" w:hAnsi="Garamond"/>
                <w:sz w:val="24"/>
                <w:szCs w:val="24"/>
              </w:rPr>
            </w:pPr>
            <w:r w:rsidRPr="00F73BA7">
              <w:rPr>
                <w:rFonts w:ascii="Garamond" w:hAnsi="Garamond"/>
                <w:sz w:val="24"/>
                <w:szCs w:val="24"/>
              </w:rPr>
              <w:t>13.00 – 14.00</w:t>
            </w:r>
          </w:p>
        </w:tc>
        <w:tc>
          <w:tcPr>
            <w:tcW w:w="1929" w:type="dxa"/>
          </w:tcPr>
          <w:p w14:paraId="014D9E0A" w14:textId="77777777" w:rsidR="004E263C" w:rsidRPr="00F73BA7" w:rsidRDefault="004E263C" w:rsidP="009B14AE">
            <w:pPr>
              <w:rPr>
                <w:rFonts w:ascii="Garamond" w:hAnsi="Garamond"/>
                <w:sz w:val="24"/>
                <w:szCs w:val="24"/>
              </w:rPr>
            </w:pPr>
            <w:r w:rsidRPr="00F73BA7">
              <w:rPr>
                <w:rFonts w:ascii="Garamond" w:hAnsi="Garamond"/>
                <w:sz w:val="24"/>
                <w:szCs w:val="24"/>
              </w:rPr>
              <w:t xml:space="preserve">Krister Bykvist </w:t>
            </w:r>
          </w:p>
        </w:tc>
        <w:tc>
          <w:tcPr>
            <w:tcW w:w="6166" w:type="dxa"/>
          </w:tcPr>
          <w:p w14:paraId="76BC2894" w14:textId="27828D98" w:rsidR="00BF48AE" w:rsidRPr="00F73BA7" w:rsidRDefault="00152BD6" w:rsidP="00BF48AE">
            <w:pPr>
              <w:pStyle w:val="NormalWeb"/>
              <w:shd w:val="clear" w:color="auto" w:fill="FFFFFF"/>
              <w:spacing w:before="0" w:beforeAutospacing="0" w:after="0" w:afterAutospacing="0"/>
              <w:rPr>
                <w:rFonts w:ascii="Garamond" w:hAnsi="Garamond"/>
                <w:color w:val="201F1E"/>
              </w:rPr>
            </w:pPr>
            <w:r>
              <w:rPr>
                <w:rFonts w:ascii="Garamond" w:hAnsi="Garamond"/>
                <w:color w:val="201F1E"/>
                <w:bdr w:val="none" w:sz="0" w:space="0" w:color="auto" w:frame="1"/>
                <w:lang w:val="en-US"/>
              </w:rPr>
              <w:t>“</w:t>
            </w:r>
            <w:r w:rsidR="00BF48AE" w:rsidRPr="00F73BA7">
              <w:rPr>
                <w:rFonts w:ascii="Garamond" w:hAnsi="Garamond"/>
                <w:color w:val="201F1E"/>
                <w:bdr w:val="none" w:sz="0" w:space="0" w:color="auto" w:frame="1"/>
                <w:lang w:val="en-US"/>
              </w:rPr>
              <w:t>Is sustainability a constraint on permissibility?</w:t>
            </w:r>
            <w:r>
              <w:rPr>
                <w:rFonts w:ascii="Garamond" w:hAnsi="Garamond"/>
                <w:color w:val="201F1E"/>
                <w:bdr w:val="none" w:sz="0" w:space="0" w:color="auto" w:frame="1"/>
                <w:lang w:val="en-US"/>
              </w:rPr>
              <w:t>”</w:t>
            </w:r>
          </w:p>
          <w:p w14:paraId="2B6D9B85" w14:textId="77777777" w:rsidR="00BF48AE" w:rsidRPr="00F73BA7" w:rsidRDefault="00BF48AE" w:rsidP="00BF48AE">
            <w:pPr>
              <w:pStyle w:val="NormalWeb"/>
              <w:shd w:val="clear" w:color="auto" w:fill="FFFFFF"/>
              <w:spacing w:before="0" w:beforeAutospacing="0" w:after="0" w:afterAutospacing="0"/>
              <w:rPr>
                <w:rFonts w:ascii="Garamond" w:hAnsi="Garamond"/>
                <w:color w:val="201F1E"/>
              </w:rPr>
            </w:pPr>
            <w:r w:rsidRPr="00F73BA7">
              <w:rPr>
                <w:rFonts w:ascii="Garamond" w:hAnsi="Garamond"/>
                <w:color w:val="201F1E"/>
                <w:bdr w:val="none" w:sz="0" w:space="0" w:color="auto" w:frame="1"/>
                <w:lang w:val="en-US"/>
              </w:rPr>
              <w:t> </w:t>
            </w:r>
          </w:p>
          <w:p w14:paraId="26F40A92"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Sustainability is a very slippery concept, but I shall take as my starting point the definition of sustainability that was first clearly formulated by the economist Geir Asheim, one of the leading researchers on sustainability in economics:</w:t>
            </w:r>
          </w:p>
          <w:p w14:paraId="7B4640ED"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 </w:t>
            </w:r>
          </w:p>
          <w:p w14:paraId="5135C5A6"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A generation’s management of the resource base at t is sustainable iff it constitutes the first part of a feasible development, starting at t, that sustains x onwards.</w:t>
            </w:r>
          </w:p>
          <w:p w14:paraId="16EC4D65"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 </w:t>
            </w:r>
          </w:p>
          <w:p w14:paraId="0261D83D"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A development is sustainable iff each generation’s management of the resource base is sustainable.</w:t>
            </w:r>
          </w:p>
          <w:p w14:paraId="7EB146A4"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 </w:t>
            </w:r>
          </w:p>
          <w:p w14:paraId="71F00168"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Different accounts of sustainability will provide different choices of x. I shall consider three popular choices:</w:t>
            </w:r>
          </w:p>
          <w:p w14:paraId="1F72DF0E"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 </w:t>
            </w:r>
          </w:p>
          <w:p w14:paraId="14E3E1B3"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1. basic needs,</w:t>
            </w:r>
          </w:p>
          <w:p w14:paraId="055639B1"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2. wellbeing growth or growth rate,</w:t>
            </w:r>
          </w:p>
          <w:p w14:paraId="57EFEE7A"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3. wellbeing level of the current generation.</w:t>
            </w:r>
          </w:p>
          <w:p w14:paraId="2A9C9A7C"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s="Times"/>
                <w:color w:val="201F1E"/>
                <w:bdr w:val="none" w:sz="0" w:space="0" w:color="auto" w:frame="1"/>
                <w:lang w:val="en-US"/>
              </w:rPr>
              <w:t> </w:t>
            </w:r>
          </w:p>
          <w:p w14:paraId="54DF4A8E" w14:textId="77777777" w:rsidR="00BF48AE" w:rsidRPr="00F73BA7" w:rsidRDefault="00BF48AE" w:rsidP="00BF48AE">
            <w:pPr>
              <w:pStyle w:val="NormalWeb"/>
              <w:shd w:val="clear" w:color="auto" w:fill="FFFFFF"/>
              <w:spacing w:before="0" w:beforeAutospacing="0" w:after="0" w:afterAutospacing="0"/>
              <w:jc w:val="both"/>
              <w:rPr>
                <w:rFonts w:ascii="Garamond" w:hAnsi="Garamond"/>
                <w:color w:val="201F1E"/>
              </w:rPr>
            </w:pPr>
            <w:r w:rsidRPr="00F73BA7">
              <w:rPr>
                <w:rFonts w:ascii="Garamond" w:hAnsi="Garamond"/>
                <w:color w:val="201F1E"/>
                <w:bdr w:val="none" w:sz="0" w:space="0" w:color="auto" w:frame="1"/>
                <w:lang w:val="en-US"/>
              </w:rPr>
              <w:t>I shall ask, with respect to each choice of x above, whether sustainability can be seen as a constraint, a </w:t>
            </w:r>
            <w:r w:rsidRPr="00F73BA7">
              <w:rPr>
                <w:rFonts w:ascii="Garamond" w:hAnsi="Garamond"/>
                <w:i/>
                <w:iCs/>
                <w:color w:val="201F1E"/>
                <w:bdr w:val="none" w:sz="0" w:space="0" w:color="auto" w:frame="1"/>
                <w:lang w:val="en-US"/>
              </w:rPr>
              <w:t>necessary</w:t>
            </w:r>
            <w:r w:rsidRPr="00F73BA7">
              <w:rPr>
                <w:rFonts w:ascii="Garamond" w:hAnsi="Garamond"/>
                <w:color w:val="201F1E"/>
                <w:bdr w:val="none" w:sz="0" w:space="0" w:color="auto" w:frame="1"/>
                <w:lang w:val="en-US"/>
              </w:rPr>
              <w:t> condition for the moral permissibility of the management of resources, even in cases where the number and identity of future people are at stake.</w:t>
            </w:r>
          </w:p>
          <w:p w14:paraId="19B49D4F" w14:textId="77777777" w:rsidR="004E263C" w:rsidRPr="00F73BA7" w:rsidRDefault="004E263C" w:rsidP="009B14AE">
            <w:pPr>
              <w:rPr>
                <w:rFonts w:ascii="Garamond" w:hAnsi="Garamond"/>
                <w:sz w:val="24"/>
                <w:szCs w:val="24"/>
              </w:rPr>
            </w:pPr>
          </w:p>
        </w:tc>
      </w:tr>
      <w:tr w:rsidR="004E263C" w:rsidRPr="00F73BA7" w14:paraId="3ECA32C2" w14:textId="77777777" w:rsidTr="009B14AE">
        <w:tc>
          <w:tcPr>
            <w:tcW w:w="1418" w:type="dxa"/>
          </w:tcPr>
          <w:p w14:paraId="40F5A53D" w14:textId="77777777" w:rsidR="004E263C" w:rsidRPr="00F73BA7" w:rsidRDefault="004E263C" w:rsidP="009B14AE">
            <w:pPr>
              <w:rPr>
                <w:rFonts w:ascii="Garamond" w:hAnsi="Garamond"/>
                <w:sz w:val="24"/>
                <w:szCs w:val="24"/>
              </w:rPr>
            </w:pPr>
            <w:r w:rsidRPr="00F73BA7">
              <w:rPr>
                <w:rFonts w:ascii="Garamond" w:hAnsi="Garamond"/>
                <w:sz w:val="24"/>
                <w:szCs w:val="24"/>
              </w:rPr>
              <w:t>14.00 – 14.30</w:t>
            </w:r>
          </w:p>
        </w:tc>
        <w:tc>
          <w:tcPr>
            <w:tcW w:w="1929" w:type="dxa"/>
          </w:tcPr>
          <w:p w14:paraId="2AD0E0B1" w14:textId="77777777" w:rsidR="004E263C" w:rsidRPr="00F73BA7" w:rsidRDefault="004E263C" w:rsidP="009B14AE">
            <w:pPr>
              <w:rPr>
                <w:rFonts w:ascii="Garamond" w:hAnsi="Garamond"/>
                <w:sz w:val="24"/>
                <w:szCs w:val="24"/>
              </w:rPr>
            </w:pPr>
            <w:r w:rsidRPr="00F73BA7">
              <w:rPr>
                <w:rFonts w:ascii="Garamond" w:hAnsi="Garamond"/>
                <w:sz w:val="24"/>
                <w:szCs w:val="24"/>
              </w:rPr>
              <w:t>Coffee Break</w:t>
            </w:r>
          </w:p>
        </w:tc>
        <w:tc>
          <w:tcPr>
            <w:tcW w:w="6166" w:type="dxa"/>
          </w:tcPr>
          <w:p w14:paraId="2A489D60" w14:textId="77777777" w:rsidR="004E263C" w:rsidRPr="00F73BA7" w:rsidRDefault="004E263C" w:rsidP="009B14AE">
            <w:pPr>
              <w:rPr>
                <w:rFonts w:ascii="Garamond" w:hAnsi="Garamond"/>
                <w:sz w:val="24"/>
                <w:szCs w:val="24"/>
              </w:rPr>
            </w:pPr>
          </w:p>
        </w:tc>
      </w:tr>
      <w:tr w:rsidR="004E263C" w:rsidRPr="00F73BA7" w14:paraId="72EF01BE" w14:textId="77777777" w:rsidTr="009B14AE">
        <w:tc>
          <w:tcPr>
            <w:tcW w:w="1418" w:type="dxa"/>
            <w:shd w:val="clear" w:color="auto" w:fill="FFFFFF" w:themeFill="background1"/>
          </w:tcPr>
          <w:p w14:paraId="6E0A0FDF" w14:textId="28F5C5EE" w:rsidR="004E263C" w:rsidRPr="00F73BA7" w:rsidRDefault="004E263C" w:rsidP="009B14AE">
            <w:pPr>
              <w:rPr>
                <w:rFonts w:ascii="Garamond" w:hAnsi="Garamond"/>
                <w:sz w:val="24"/>
                <w:szCs w:val="24"/>
              </w:rPr>
            </w:pPr>
            <w:r w:rsidRPr="00F73BA7">
              <w:rPr>
                <w:rFonts w:ascii="Garamond" w:hAnsi="Garamond"/>
                <w:sz w:val="24"/>
                <w:szCs w:val="24"/>
              </w:rPr>
              <w:t>14.30 – 15.</w:t>
            </w:r>
            <w:r w:rsidR="00422AA3">
              <w:rPr>
                <w:rFonts w:ascii="Garamond" w:hAnsi="Garamond"/>
                <w:sz w:val="24"/>
                <w:szCs w:val="24"/>
              </w:rPr>
              <w:t>0</w:t>
            </w:r>
            <w:r w:rsidRPr="00F73BA7">
              <w:rPr>
                <w:rFonts w:ascii="Garamond" w:hAnsi="Garamond"/>
                <w:sz w:val="24"/>
                <w:szCs w:val="24"/>
              </w:rPr>
              <w:t>0</w:t>
            </w:r>
          </w:p>
        </w:tc>
        <w:tc>
          <w:tcPr>
            <w:tcW w:w="1929" w:type="dxa"/>
            <w:shd w:val="clear" w:color="auto" w:fill="FFFFFF" w:themeFill="background1"/>
          </w:tcPr>
          <w:p w14:paraId="130FBE39" w14:textId="5D344EB7" w:rsidR="004E263C" w:rsidRPr="00F73BA7" w:rsidRDefault="00422AA3" w:rsidP="00F73BA7">
            <w:pPr>
              <w:jc w:val="center"/>
              <w:rPr>
                <w:rFonts w:ascii="Garamond" w:hAnsi="Garamond"/>
                <w:sz w:val="24"/>
                <w:szCs w:val="24"/>
              </w:rPr>
            </w:pPr>
            <w:r>
              <w:rPr>
                <w:rFonts w:ascii="Garamond" w:hAnsi="Garamond"/>
                <w:sz w:val="24"/>
                <w:szCs w:val="24"/>
              </w:rPr>
              <w:t>Kirsti Jylhä</w:t>
            </w:r>
          </w:p>
        </w:tc>
        <w:tc>
          <w:tcPr>
            <w:tcW w:w="6166" w:type="dxa"/>
            <w:shd w:val="clear" w:color="auto" w:fill="FFFFFF" w:themeFill="background1"/>
          </w:tcPr>
          <w:p w14:paraId="5E014CDF" w14:textId="686FCFBE" w:rsidR="004E263C" w:rsidRPr="00F73BA7" w:rsidRDefault="00422AA3" w:rsidP="009B14AE">
            <w:pPr>
              <w:rPr>
                <w:rFonts w:ascii="Garamond" w:hAnsi="Garamond"/>
                <w:sz w:val="24"/>
                <w:szCs w:val="24"/>
              </w:rPr>
            </w:pPr>
            <w:r>
              <w:rPr>
                <w:rFonts w:ascii="Garamond" w:hAnsi="Garamond"/>
                <w:sz w:val="24"/>
                <w:szCs w:val="24"/>
              </w:rPr>
              <w:t>TBA</w:t>
            </w:r>
            <w:bookmarkStart w:id="2" w:name="_GoBack"/>
            <w:bookmarkEnd w:id="2"/>
          </w:p>
        </w:tc>
      </w:tr>
      <w:tr w:rsidR="004E263C" w:rsidRPr="00F73BA7" w14:paraId="5629538E" w14:textId="77777777" w:rsidTr="009B14AE">
        <w:tc>
          <w:tcPr>
            <w:tcW w:w="1418" w:type="dxa"/>
            <w:shd w:val="clear" w:color="auto" w:fill="FFFFFF" w:themeFill="background1"/>
          </w:tcPr>
          <w:p w14:paraId="5622C418" w14:textId="3A8EF337" w:rsidR="004E263C" w:rsidRPr="00F73BA7" w:rsidRDefault="004E263C" w:rsidP="009B14AE">
            <w:pPr>
              <w:rPr>
                <w:rFonts w:ascii="Garamond" w:hAnsi="Garamond"/>
                <w:sz w:val="24"/>
                <w:szCs w:val="24"/>
              </w:rPr>
            </w:pPr>
            <w:r w:rsidRPr="00F73BA7">
              <w:rPr>
                <w:rFonts w:ascii="Garamond" w:hAnsi="Garamond"/>
                <w:sz w:val="24"/>
                <w:szCs w:val="24"/>
              </w:rPr>
              <w:t>15.</w:t>
            </w:r>
            <w:r w:rsidR="00422AA3">
              <w:rPr>
                <w:rFonts w:ascii="Garamond" w:hAnsi="Garamond"/>
                <w:sz w:val="24"/>
                <w:szCs w:val="24"/>
              </w:rPr>
              <w:t>0</w:t>
            </w:r>
            <w:r w:rsidRPr="00F73BA7">
              <w:rPr>
                <w:rFonts w:ascii="Garamond" w:hAnsi="Garamond"/>
                <w:sz w:val="24"/>
                <w:szCs w:val="24"/>
              </w:rPr>
              <w:t>0 – 1</w:t>
            </w:r>
            <w:r w:rsidR="004B3D21" w:rsidRPr="00F73BA7">
              <w:rPr>
                <w:rFonts w:ascii="Garamond" w:hAnsi="Garamond"/>
                <w:sz w:val="24"/>
                <w:szCs w:val="24"/>
              </w:rPr>
              <w:t>5</w:t>
            </w:r>
            <w:r w:rsidRPr="00F73BA7">
              <w:rPr>
                <w:rFonts w:ascii="Garamond" w:hAnsi="Garamond"/>
                <w:sz w:val="24"/>
                <w:szCs w:val="24"/>
              </w:rPr>
              <w:t>.</w:t>
            </w:r>
            <w:r w:rsidR="004B3D21" w:rsidRPr="00F73BA7">
              <w:rPr>
                <w:rFonts w:ascii="Garamond" w:hAnsi="Garamond"/>
                <w:sz w:val="24"/>
                <w:szCs w:val="24"/>
              </w:rPr>
              <w:t>5</w:t>
            </w:r>
            <w:r w:rsidRPr="00F73BA7">
              <w:rPr>
                <w:rFonts w:ascii="Garamond" w:hAnsi="Garamond"/>
                <w:sz w:val="24"/>
                <w:szCs w:val="24"/>
              </w:rPr>
              <w:t>0</w:t>
            </w:r>
          </w:p>
        </w:tc>
        <w:tc>
          <w:tcPr>
            <w:tcW w:w="1929" w:type="dxa"/>
            <w:shd w:val="clear" w:color="auto" w:fill="FFFFFF" w:themeFill="background1"/>
          </w:tcPr>
          <w:p w14:paraId="0EC9A01E" w14:textId="325A4C4F" w:rsidR="004E263C" w:rsidRPr="00F73BA7" w:rsidRDefault="00422AA3" w:rsidP="009B14AE">
            <w:pPr>
              <w:rPr>
                <w:rFonts w:ascii="Garamond" w:hAnsi="Garamond"/>
                <w:sz w:val="24"/>
                <w:szCs w:val="24"/>
              </w:rPr>
            </w:pPr>
            <w:r>
              <w:rPr>
                <w:rFonts w:ascii="Garamond" w:hAnsi="Garamond"/>
                <w:sz w:val="24"/>
                <w:szCs w:val="24"/>
              </w:rPr>
              <w:t xml:space="preserve">Extended </w:t>
            </w:r>
            <w:r w:rsidR="004E263C" w:rsidRPr="00F73BA7">
              <w:rPr>
                <w:rFonts w:ascii="Garamond" w:hAnsi="Garamond"/>
                <w:sz w:val="24"/>
                <w:szCs w:val="24"/>
              </w:rPr>
              <w:t>Coffee Break</w:t>
            </w:r>
          </w:p>
        </w:tc>
        <w:tc>
          <w:tcPr>
            <w:tcW w:w="6166" w:type="dxa"/>
            <w:shd w:val="clear" w:color="auto" w:fill="FFFFFF" w:themeFill="background1"/>
          </w:tcPr>
          <w:p w14:paraId="681058BE" w14:textId="77777777" w:rsidR="004E263C" w:rsidRPr="00F73BA7" w:rsidRDefault="004E263C" w:rsidP="009B14AE">
            <w:pPr>
              <w:rPr>
                <w:rFonts w:ascii="Garamond" w:hAnsi="Garamond"/>
                <w:sz w:val="24"/>
                <w:szCs w:val="24"/>
              </w:rPr>
            </w:pPr>
          </w:p>
        </w:tc>
      </w:tr>
      <w:tr w:rsidR="004E263C" w:rsidRPr="00F73BA7" w14:paraId="182AEEEE" w14:textId="77777777" w:rsidTr="009B14AE">
        <w:tc>
          <w:tcPr>
            <w:tcW w:w="1418" w:type="dxa"/>
            <w:shd w:val="clear" w:color="auto" w:fill="FFFFFF" w:themeFill="background1"/>
          </w:tcPr>
          <w:p w14:paraId="0A7742F5" w14:textId="068FA0A0" w:rsidR="004E263C" w:rsidRPr="00F73BA7" w:rsidRDefault="004E263C" w:rsidP="009B14AE">
            <w:pPr>
              <w:rPr>
                <w:rFonts w:ascii="Garamond" w:hAnsi="Garamond"/>
                <w:sz w:val="24"/>
                <w:szCs w:val="24"/>
              </w:rPr>
            </w:pPr>
            <w:r w:rsidRPr="00F73BA7">
              <w:rPr>
                <w:rFonts w:ascii="Garamond" w:hAnsi="Garamond"/>
                <w:sz w:val="24"/>
                <w:szCs w:val="24"/>
              </w:rPr>
              <w:t>1</w:t>
            </w:r>
            <w:r w:rsidR="004B3D21" w:rsidRPr="00F73BA7">
              <w:rPr>
                <w:rFonts w:ascii="Garamond" w:hAnsi="Garamond"/>
                <w:sz w:val="24"/>
                <w:szCs w:val="24"/>
              </w:rPr>
              <w:t>5</w:t>
            </w:r>
            <w:r w:rsidRPr="00F73BA7">
              <w:rPr>
                <w:rFonts w:ascii="Garamond" w:hAnsi="Garamond"/>
                <w:sz w:val="24"/>
                <w:szCs w:val="24"/>
              </w:rPr>
              <w:t>.</w:t>
            </w:r>
            <w:r w:rsidR="004B3D21" w:rsidRPr="00F73BA7">
              <w:rPr>
                <w:rFonts w:ascii="Garamond" w:hAnsi="Garamond"/>
                <w:sz w:val="24"/>
                <w:szCs w:val="24"/>
              </w:rPr>
              <w:t>5</w:t>
            </w:r>
            <w:r w:rsidRPr="00F73BA7">
              <w:rPr>
                <w:rFonts w:ascii="Garamond" w:hAnsi="Garamond"/>
                <w:sz w:val="24"/>
                <w:szCs w:val="24"/>
              </w:rPr>
              <w:t>0 – 1</w:t>
            </w:r>
            <w:r w:rsidR="004B3D21" w:rsidRPr="00F73BA7">
              <w:rPr>
                <w:rFonts w:ascii="Garamond" w:hAnsi="Garamond"/>
                <w:sz w:val="24"/>
                <w:szCs w:val="24"/>
              </w:rPr>
              <w:t>6</w:t>
            </w:r>
            <w:r w:rsidRPr="00F73BA7">
              <w:rPr>
                <w:rFonts w:ascii="Garamond" w:hAnsi="Garamond"/>
                <w:sz w:val="24"/>
                <w:szCs w:val="24"/>
              </w:rPr>
              <w:t>.</w:t>
            </w:r>
            <w:r w:rsidR="004B3D21" w:rsidRPr="00F73BA7">
              <w:rPr>
                <w:rFonts w:ascii="Garamond" w:hAnsi="Garamond"/>
                <w:sz w:val="24"/>
                <w:szCs w:val="24"/>
              </w:rPr>
              <w:t>5</w:t>
            </w:r>
            <w:r w:rsidRPr="00F73BA7">
              <w:rPr>
                <w:rFonts w:ascii="Garamond" w:hAnsi="Garamond"/>
                <w:sz w:val="24"/>
                <w:szCs w:val="24"/>
              </w:rPr>
              <w:t>0</w:t>
            </w:r>
          </w:p>
        </w:tc>
        <w:tc>
          <w:tcPr>
            <w:tcW w:w="1929" w:type="dxa"/>
            <w:shd w:val="clear" w:color="auto" w:fill="FFFFFF" w:themeFill="background1"/>
          </w:tcPr>
          <w:p w14:paraId="1C5078B6" w14:textId="77777777" w:rsidR="004E263C" w:rsidRPr="00F73BA7" w:rsidRDefault="004E263C" w:rsidP="009B14AE">
            <w:pPr>
              <w:rPr>
                <w:rFonts w:ascii="Garamond" w:hAnsi="Garamond"/>
                <w:sz w:val="24"/>
                <w:szCs w:val="24"/>
              </w:rPr>
            </w:pPr>
            <w:r w:rsidRPr="00F73BA7">
              <w:rPr>
                <w:rFonts w:ascii="Garamond" w:hAnsi="Garamond"/>
                <w:sz w:val="24"/>
                <w:szCs w:val="24"/>
              </w:rPr>
              <w:t>Dean Spears</w:t>
            </w:r>
          </w:p>
        </w:tc>
        <w:tc>
          <w:tcPr>
            <w:tcW w:w="6166" w:type="dxa"/>
            <w:shd w:val="clear" w:color="auto" w:fill="FFFFFF" w:themeFill="background1"/>
          </w:tcPr>
          <w:p w14:paraId="60AF90F4" w14:textId="14A473C1" w:rsidR="004E263C" w:rsidRPr="00F73BA7" w:rsidRDefault="00DB74D7" w:rsidP="009B14AE">
            <w:pPr>
              <w:rPr>
                <w:rFonts w:ascii="Garamond" w:hAnsi="Garamond"/>
                <w:sz w:val="24"/>
                <w:szCs w:val="24"/>
              </w:rPr>
            </w:pPr>
            <w:r w:rsidRPr="00F73BA7">
              <w:rPr>
                <w:rFonts w:ascii="Garamond" w:hAnsi="Garamond"/>
                <w:sz w:val="24"/>
                <w:szCs w:val="24"/>
              </w:rPr>
              <w:t>“Calibrating Population Ethics”</w:t>
            </w:r>
          </w:p>
          <w:p w14:paraId="03F977AD" w14:textId="77777777" w:rsidR="00DB74D7" w:rsidRPr="00F73BA7" w:rsidRDefault="00DB74D7" w:rsidP="009B14AE">
            <w:pPr>
              <w:rPr>
                <w:rFonts w:ascii="Garamond" w:hAnsi="Garamond"/>
                <w:sz w:val="24"/>
                <w:szCs w:val="24"/>
              </w:rPr>
            </w:pPr>
          </w:p>
          <w:p w14:paraId="4C534DE2" w14:textId="4E06B456" w:rsidR="00DB74D7" w:rsidRPr="00F73BA7" w:rsidRDefault="00F73BA7" w:rsidP="00DB74D7">
            <w:pPr>
              <w:shd w:val="clear" w:color="auto" w:fill="FFFFFF"/>
              <w:spacing w:line="235" w:lineRule="atLeast"/>
              <w:rPr>
                <w:rFonts w:ascii="Garamond" w:eastAsia="Times New Roman" w:hAnsi="Garamond" w:cs="Times New Roman"/>
                <w:color w:val="222222"/>
                <w:sz w:val="24"/>
                <w:szCs w:val="24"/>
                <w:lang w:val="en-SE" w:eastAsia="en-SE"/>
              </w:rPr>
            </w:pPr>
            <w:r>
              <w:rPr>
                <w:rFonts w:ascii="Garamond" w:eastAsia="Times New Roman" w:hAnsi="Garamond" w:cs="Times New Roman"/>
                <w:color w:val="222222"/>
                <w:sz w:val="24"/>
                <w:szCs w:val="24"/>
                <w:lang w:eastAsia="en-SE"/>
              </w:rPr>
              <w:t xml:space="preserve">Authors: </w:t>
            </w:r>
            <w:r w:rsidR="00DB74D7" w:rsidRPr="00F73BA7">
              <w:rPr>
                <w:rFonts w:ascii="Garamond" w:eastAsia="Times New Roman" w:hAnsi="Garamond" w:cs="Times New Roman"/>
                <w:color w:val="222222"/>
                <w:sz w:val="24"/>
                <w:szCs w:val="24"/>
                <w:lang w:val="en-SE" w:eastAsia="en-SE"/>
              </w:rPr>
              <w:t>Dean Spears and H. Orri Stefánsson</w:t>
            </w:r>
          </w:p>
          <w:p w14:paraId="58F39B94" w14:textId="77777777" w:rsidR="00DB74D7" w:rsidRPr="00F73BA7" w:rsidRDefault="00DB74D7" w:rsidP="00DB74D7">
            <w:pPr>
              <w:shd w:val="clear" w:color="auto" w:fill="FFFFFF"/>
              <w:spacing w:line="235" w:lineRule="atLeast"/>
              <w:rPr>
                <w:rFonts w:ascii="Garamond" w:eastAsia="Times New Roman" w:hAnsi="Garamond" w:cs="Times New Roman"/>
                <w:color w:val="222222"/>
                <w:sz w:val="24"/>
                <w:szCs w:val="24"/>
                <w:lang w:val="en-SE" w:eastAsia="en-SE"/>
              </w:rPr>
            </w:pPr>
          </w:p>
          <w:p w14:paraId="32DFB1C4" w14:textId="77777777" w:rsidR="00DB74D7" w:rsidRPr="00F73BA7" w:rsidRDefault="00DB74D7" w:rsidP="00DB74D7">
            <w:pPr>
              <w:shd w:val="clear" w:color="auto" w:fill="FFFFFF"/>
              <w:spacing w:line="235" w:lineRule="atLeast"/>
              <w:rPr>
                <w:rFonts w:ascii="Garamond" w:eastAsia="Times New Roman" w:hAnsi="Garamond" w:cs="Times New Roman"/>
                <w:color w:val="222222"/>
                <w:sz w:val="24"/>
                <w:szCs w:val="24"/>
                <w:lang w:val="en-SE" w:eastAsia="en-SE"/>
              </w:rPr>
            </w:pPr>
            <w:r w:rsidRPr="00F73BA7">
              <w:rPr>
                <w:rFonts w:ascii="Garamond" w:eastAsia="Times New Roman" w:hAnsi="Garamond" w:cs="Times New Roman"/>
                <w:color w:val="222222"/>
                <w:sz w:val="24"/>
                <w:szCs w:val="24"/>
                <w:lang w:val="en-SE" w:eastAsia="en-SE"/>
              </w:rPr>
              <w:t xml:space="preserve">In decision theory, calibration methods investigate whether variable-value orderings can rationalize judgments at different scales.  For example, Rabin (2000) applies calibration tools to undermine the descriptive plausibility of Expected Utility Theory; similarly, Nebel and Stefánsson (m.s.) use calibration methods to assess the plausibility of Prioritarian social welfare functions.  Here, we apply this tool to variable-value population </w:t>
            </w:r>
            <w:r w:rsidRPr="00F73BA7">
              <w:rPr>
                <w:rFonts w:ascii="Garamond" w:eastAsia="Times New Roman" w:hAnsi="Garamond" w:cs="Times New Roman"/>
                <w:color w:val="222222"/>
                <w:sz w:val="24"/>
                <w:szCs w:val="24"/>
                <w:lang w:val="en-SE" w:eastAsia="en-SE"/>
              </w:rPr>
              <w:lastRenderedPageBreak/>
              <w:t>ethics.  The result allows us to considerably weaken the classic Mere Addition axiom, such as to claim only that adding an excellent life in a 2020 developed country, all else equal, is not a worsening.  We show that variable-value axiologies that accept such a small-scale addition must, to be coherent, imply instances of the repugnant conclusion.  These results add to a recent literature that argues that instances of repugnant conclusion are ubiquitous even under theories that are commonly understood to avoid repugnance.  We discuss implications – the narrowest of which is that plausible implementations of variable-value population ethics are likely to quantitatively resemble additively separable social orderings, in some practical cases.</w:t>
            </w:r>
          </w:p>
          <w:p w14:paraId="4AB37DCD" w14:textId="77777777" w:rsidR="00DB74D7" w:rsidRPr="00F73BA7" w:rsidRDefault="00DB74D7" w:rsidP="00DB74D7">
            <w:pPr>
              <w:shd w:val="clear" w:color="auto" w:fill="FFFFFF"/>
              <w:spacing w:line="235" w:lineRule="atLeast"/>
              <w:rPr>
                <w:rFonts w:ascii="Garamond" w:eastAsia="Times New Roman" w:hAnsi="Garamond" w:cs="Times New Roman"/>
                <w:color w:val="222222"/>
                <w:sz w:val="24"/>
                <w:szCs w:val="24"/>
                <w:lang w:val="en-SE" w:eastAsia="en-SE"/>
              </w:rPr>
            </w:pPr>
            <w:r w:rsidRPr="00F73BA7">
              <w:rPr>
                <w:rFonts w:ascii="Garamond" w:eastAsia="Times New Roman" w:hAnsi="Garamond" w:cs="Times New Roman"/>
                <w:color w:val="222222"/>
                <w:sz w:val="24"/>
                <w:szCs w:val="24"/>
                <w:lang w:val="en-SE" w:eastAsia="en-SE"/>
              </w:rPr>
              <w:t>In the last few minutes, Dean will also introduce a small but many-authored recent collaboration on the Repugnant Conclusion and invite the participation of anyone interested.</w:t>
            </w:r>
          </w:p>
          <w:p w14:paraId="5633B170" w14:textId="065E09EE" w:rsidR="00DB74D7" w:rsidRPr="00F73BA7" w:rsidRDefault="00DB74D7" w:rsidP="009B14AE">
            <w:pPr>
              <w:rPr>
                <w:rFonts w:ascii="Garamond" w:hAnsi="Garamond"/>
                <w:sz w:val="24"/>
                <w:szCs w:val="24"/>
              </w:rPr>
            </w:pPr>
          </w:p>
        </w:tc>
      </w:tr>
      <w:tr w:rsidR="004E263C" w:rsidRPr="00F73BA7" w14:paraId="491A71F6" w14:textId="77777777" w:rsidTr="009B14AE">
        <w:tc>
          <w:tcPr>
            <w:tcW w:w="1418" w:type="dxa"/>
          </w:tcPr>
          <w:p w14:paraId="421CE0C0" w14:textId="77777777" w:rsidR="004E263C" w:rsidRPr="00F73BA7" w:rsidRDefault="004E263C" w:rsidP="009B14AE">
            <w:pPr>
              <w:tabs>
                <w:tab w:val="left" w:pos="921"/>
              </w:tabs>
              <w:rPr>
                <w:rFonts w:ascii="Garamond" w:hAnsi="Garamond"/>
                <w:sz w:val="24"/>
                <w:szCs w:val="24"/>
              </w:rPr>
            </w:pPr>
          </w:p>
        </w:tc>
        <w:tc>
          <w:tcPr>
            <w:tcW w:w="1929" w:type="dxa"/>
          </w:tcPr>
          <w:p w14:paraId="68E6F9BE" w14:textId="77777777" w:rsidR="004E263C" w:rsidRPr="00F73BA7" w:rsidRDefault="004E263C" w:rsidP="009B14AE">
            <w:pPr>
              <w:rPr>
                <w:rFonts w:ascii="Garamond" w:hAnsi="Garamond"/>
                <w:sz w:val="24"/>
                <w:szCs w:val="24"/>
              </w:rPr>
            </w:pPr>
          </w:p>
        </w:tc>
        <w:tc>
          <w:tcPr>
            <w:tcW w:w="6166" w:type="dxa"/>
          </w:tcPr>
          <w:p w14:paraId="0007DF9E" w14:textId="77777777" w:rsidR="004E263C" w:rsidRPr="00F73BA7" w:rsidRDefault="004E263C" w:rsidP="009B14AE">
            <w:pPr>
              <w:rPr>
                <w:rFonts w:ascii="Garamond" w:hAnsi="Garamond"/>
                <w:sz w:val="24"/>
                <w:szCs w:val="24"/>
              </w:rPr>
            </w:pPr>
          </w:p>
        </w:tc>
      </w:tr>
    </w:tbl>
    <w:bookmarkEnd w:id="0"/>
    <w:p w14:paraId="1692C1BD" w14:textId="77777777" w:rsidR="004E263C" w:rsidRPr="00F73BA7" w:rsidRDefault="004E263C" w:rsidP="004E263C">
      <w:pPr>
        <w:rPr>
          <w:rFonts w:ascii="Garamond" w:hAnsi="Garamond"/>
          <w:sz w:val="24"/>
          <w:szCs w:val="24"/>
        </w:rPr>
      </w:pPr>
      <w:r w:rsidRPr="00F73BA7">
        <w:rPr>
          <w:rFonts w:ascii="Garamond" w:hAnsi="Garamond"/>
          <w:sz w:val="24"/>
          <w:szCs w:val="24"/>
        </w:rPr>
        <w:t xml:space="preserve"> </w:t>
      </w:r>
    </w:p>
    <w:p w14:paraId="7AD2B21C" w14:textId="77777777" w:rsidR="00796EC9" w:rsidRPr="00F73BA7" w:rsidRDefault="00796EC9">
      <w:pPr>
        <w:rPr>
          <w:rFonts w:ascii="Garamond" w:hAnsi="Garamond"/>
          <w:sz w:val="24"/>
          <w:szCs w:val="24"/>
        </w:rPr>
      </w:pPr>
    </w:p>
    <w:sectPr w:rsidR="00796EC9" w:rsidRPr="00F73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3C"/>
    <w:rsid w:val="00152BD6"/>
    <w:rsid w:val="00422AA3"/>
    <w:rsid w:val="004B3D21"/>
    <w:rsid w:val="004E263C"/>
    <w:rsid w:val="00796EC9"/>
    <w:rsid w:val="00A43BA2"/>
    <w:rsid w:val="00BF48AE"/>
    <w:rsid w:val="00DB74D7"/>
    <w:rsid w:val="00DE51D4"/>
    <w:rsid w:val="00F73BA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3046"/>
  <w15:chartTrackingRefBased/>
  <w15:docId w15:val="{42322C41-1190-4987-8FB6-66EDF6ED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6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6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21"/>
    <w:rPr>
      <w:rFonts w:ascii="Segoe UI" w:hAnsi="Segoe UI" w:cs="Segoe UI"/>
      <w:sz w:val="18"/>
      <w:szCs w:val="18"/>
      <w:lang w:val="en-GB"/>
    </w:rPr>
  </w:style>
  <w:style w:type="paragraph" w:styleId="NormalWeb">
    <w:name w:val="Normal (Web)"/>
    <w:basedOn w:val="Normal"/>
    <w:uiPriority w:val="99"/>
    <w:semiHidden/>
    <w:unhideWhenUsed/>
    <w:rsid w:val="00BF48AE"/>
    <w:pPr>
      <w:spacing w:before="100" w:beforeAutospacing="1" w:after="100" w:afterAutospacing="1" w:line="240" w:lineRule="auto"/>
    </w:pPr>
    <w:rPr>
      <w:rFonts w:ascii="Times New Roman" w:eastAsia="Times New Roman" w:hAnsi="Times New Roman" w:cs="Times New Roman"/>
      <w:sz w:val="24"/>
      <w:szCs w:val="24"/>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7571">
      <w:bodyDiv w:val="1"/>
      <w:marLeft w:val="0"/>
      <w:marRight w:val="0"/>
      <w:marTop w:val="0"/>
      <w:marBottom w:val="0"/>
      <w:divBdr>
        <w:top w:val="none" w:sz="0" w:space="0" w:color="auto"/>
        <w:left w:val="none" w:sz="0" w:space="0" w:color="auto"/>
        <w:bottom w:val="none" w:sz="0" w:space="0" w:color="auto"/>
        <w:right w:val="none" w:sz="0" w:space="0" w:color="auto"/>
      </w:divBdr>
    </w:div>
    <w:div w:id="1697274237">
      <w:bodyDiv w:val="1"/>
      <w:marLeft w:val="0"/>
      <w:marRight w:val="0"/>
      <w:marTop w:val="0"/>
      <w:marBottom w:val="0"/>
      <w:divBdr>
        <w:top w:val="none" w:sz="0" w:space="0" w:color="auto"/>
        <w:left w:val="none" w:sz="0" w:space="0" w:color="auto"/>
        <w:bottom w:val="none" w:sz="0" w:space="0" w:color="auto"/>
        <w:right w:val="none" w:sz="0" w:space="0" w:color="auto"/>
      </w:divBdr>
    </w:div>
    <w:div w:id="20193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832</Words>
  <Characters>4229</Characters>
  <Application>Microsoft Office Word</Application>
  <DocSecurity>0</DocSecurity>
  <Lines>66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Campbell</dc:creator>
  <cp:keywords/>
  <dc:description/>
  <cp:lastModifiedBy>Timothy Campbell</cp:lastModifiedBy>
  <cp:revision>6</cp:revision>
  <dcterms:created xsi:type="dcterms:W3CDTF">2020-04-27T09:45:00Z</dcterms:created>
  <dcterms:modified xsi:type="dcterms:W3CDTF">2020-04-29T14:28:00Z</dcterms:modified>
</cp:coreProperties>
</file>